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58242" w14:textId="77777777" w:rsidR="00110CFD" w:rsidRPr="0096676B" w:rsidRDefault="00110CFD" w:rsidP="00110CFD">
      <w:pPr>
        <w:rPr>
          <w:b/>
          <w:i/>
          <w:iCs/>
          <w:sz w:val="28"/>
          <w:szCs w:val="28"/>
        </w:rPr>
      </w:pPr>
      <w:r w:rsidRPr="0096676B">
        <w:rPr>
          <w:b/>
          <w:sz w:val="28"/>
          <w:szCs w:val="28"/>
        </w:rPr>
        <w:t>A8–</w:t>
      </w:r>
      <w:r w:rsidRPr="0096676B">
        <w:rPr>
          <w:b/>
          <w:i/>
          <w:iCs/>
          <w:sz w:val="28"/>
          <w:szCs w:val="28"/>
        </w:rPr>
        <w:t xml:space="preserve">INTRODUCTION </w:t>
      </w:r>
      <w:r w:rsidRPr="008A0FB7">
        <w:rPr>
          <w:iCs/>
          <w:sz w:val="28"/>
          <w:szCs w:val="28"/>
        </w:rPr>
        <w:t>(pp. 9-16)</w:t>
      </w:r>
    </w:p>
    <w:p w14:paraId="67A2F0EC" w14:textId="77777777" w:rsidR="00110CFD" w:rsidRPr="00DD0D0F" w:rsidRDefault="00110CFD" w:rsidP="00110CFD">
      <w:pPr>
        <w:rPr>
          <w:szCs w:val="24"/>
        </w:rPr>
      </w:pPr>
      <w:r w:rsidRPr="00DD0D0F">
        <w:rPr>
          <w:szCs w:val="24"/>
        </w:rPr>
        <w:t xml:space="preserve">A8.1 – Quelques explications sur des mots et expressions utilisés par Keating </w:t>
      </w:r>
    </w:p>
    <w:p w14:paraId="71016A7E" w14:textId="77777777" w:rsidR="00110CFD" w:rsidRPr="00DD0D0F" w:rsidRDefault="00110CFD" w:rsidP="00110CFD">
      <w:pPr>
        <w:spacing w:after="0"/>
        <w:rPr>
          <w:szCs w:val="24"/>
        </w:rPr>
      </w:pPr>
      <w:r w:rsidRPr="00DD0D0F">
        <w:rPr>
          <w:szCs w:val="24"/>
        </w:rPr>
        <w:t>1 - La tradition chrétienne</w:t>
      </w:r>
    </w:p>
    <w:p w14:paraId="5E5F5F07" w14:textId="77777777" w:rsidR="00110CFD" w:rsidRDefault="00110CFD" w:rsidP="00110CFD">
      <w:pPr>
        <w:jc w:val="both"/>
        <w:rPr>
          <w:szCs w:val="24"/>
        </w:rPr>
      </w:pPr>
      <w:r w:rsidRPr="009A506F">
        <w:rPr>
          <w:szCs w:val="24"/>
        </w:rPr>
        <w:t>L’expression</w:t>
      </w:r>
      <w:r w:rsidRPr="00184CD4">
        <w:rPr>
          <w:b/>
          <w:szCs w:val="24"/>
        </w:rPr>
        <w:t xml:space="preserve"> </w:t>
      </w:r>
      <w:r w:rsidRPr="00184CD4">
        <w:rPr>
          <w:b/>
          <w:i/>
          <w:szCs w:val="24"/>
        </w:rPr>
        <w:t>« tradition chrétienne »</w:t>
      </w:r>
      <w:r w:rsidRPr="009A506F">
        <w:rPr>
          <w:szCs w:val="24"/>
        </w:rPr>
        <w:t xml:space="preserve"> (p. 10, 2)</w:t>
      </w:r>
      <w:r>
        <w:rPr>
          <w:szCs w:val="24"/>
        </w:rPr>
        <w:t xml:space="preserve"> </w:t>
      </w:r>
      <w:r w:rsidRPr="009A506F">
        <w:rPr>
          <w:szCs w:val="24"/>
        </w:rPr>
        <w:t>réfère aux valeurs évangéliques et au dynamisme de l’Esprit de Dieu qui par ses dons aide continuellement les croyants</w:t>
      </w:r>
      <w:r>
        <w:rPr>
          <w:szCs w:val="24"/>
        </w:rPr>
        <w:t>.es</w:t>
      </w:r>
      <w:r w:rsidRPr="009A506F">
        <w:rPr>
          <w:szCs w:val="24"/>
        </w:rPr>
        <w:t xml:space="preserve"> à incarner ces valeurs dans les différents contextes au cours de l’histoire de l’Église. La tradition chrétienne est vivante parce que l’Esprit sait nous inspirer des ruptures </w:t>
      </w:r>
      <w:r>
        <w:rPr>
          <w:szCs w:val="24"/>
        </w:rPr>
        <w:t xml:space="preserve">relativement à </w:t>
      </w:r>
      <w:r w:rsidRPr="009A506F">
        <w:rPr>
          <w:szCs w:val="24"/>
        </w:rPr>
        <w:t>certains discours théologiques inappropriés pour notre temps et en instaurer</w:t>
      </w:r>
      <w:r w:rsidRPr="009A506F">
        <w:rPr>
          <w:rStyle w:val="Appelnotedebasdep"/>
          <w:szCs w:val="24"/>
        </w:rPr>
        <w:footnoteReference w:id="1"/>
      </w:r>
      <w:r w:rsidRPr="009A506F">
        <w:rPr>
          <w:szCs w:val="24"/>
        </w:rPr>
        <w:t xml:space="preserve"> de nouveaux. L’expression « tradition chrétienne » ne devrait pas évoquer un ensemble figé de coutumes routinières, anciennes et déconnectées de la spiritualité des gens dans les conditions de vie particulière de leur époque. </w:t>
      </w:r>
    </w:p>
    <w:p w14:paraId="0BCD881B" w14:textId="77777777" w:rsidR="00110CFD" w:rsidRPr="009A506F" w:rsidRDefault="00110CFD" w:rsidP="00110CFD">
      <w:pPr>
        <w:jc w:val="both"/>
        <w:rPr>
          <w:szCs w:val="24"/>
        </w:rPr>
      </w:pPr>
    </w:p>
    <w:p w14:paraId="66EB313F" w14:textId="77777777" w:rsidR="00110CFD" w:rsidRPr="00DD0D0F" w:rsidRDefault="00110CFD" w:rsidP="00110CFD">
      <w:pPr>
        <w:spacing w:after="0"/>
        <w:jc w:val="both"/>
        <w:rPr>
          <w:szCs w:val="24"/>
        </w:rPr>
      </w:pPr>
      <w:r w:rsidRPr="00DD0D0F">
        <w:rPr>
          <w:szCs w:val="24"/>
        </w:rPr>
        <w:t xml:space="preserve">2 - La contemplation </w:t>
      </w:r>
    </w:p>
    <w:p w14:paraId="67CD3BFD" w14:textId="77777777" w:rsidR="00110CFD" w:rsidRDefault="00110CFD" w:rsidP="00110CFD">
      <w:pPr>
        <w:jc w:val="both"/>
        <w:rPr>
          <w:szCs w:val="24"/>
        </w:rPr>
      </w:pPr>
      <w:r w:rsidRPr="009A506F">
        <w:rPr>
          <w:szCs w:val="24"/>
        </w:rPr>
        <w:t xml:space="preserve">La </w:t>
      </w:r>
      <w:r w:rsidRPr="00184CD4">
        <w:rPr>
          <w:b/>
          <w:i/>
          <w:szCs w:val="24"/>
        </w:rPr>
        <w:t>« contemplation »</w:t>
      </w:r>
      <w:r>
        <w:rPr>
          <w:szCs w:val="24"/>
        </w:rPr>
        <w:t xml:space="preserve"> </w:t>
      </w:r>
      <w:r w:rsidRPr="009A506F">
        <w:rPr>
          <w:szCs w:val="24"/>
        </w:rPr>
        <w:t>(p. 10, 2)</w:t>
      </w:r>
      <w:r w:rsidRPr="009A506F">
        <w:rPr>
          <w:b/>
          <w:szCs w:val="24"/>
        </w:rPr>
        <w:t xml:space="preserve"> </w:t>
      </w:r>
      <w:r w:rsidRPr="009A506F">
        <w:rPr>
          <w:szCs w:val="24"/>
        </w:rPr>
        <w:t>ou prière contemplative implique un développement de la relation à Dieu consécutif au consentement à être transform</w:t>
      </w:r>
      <w:r>
        <w:rPr>
          <w:szCs w:val="24"/>
        </w:rPr>
        <w:t>é</w:t>
      </w:r>
      <w:r w:rsidRPr="009A506F">
        <w:rPr>
          <w:szCs w:val="24"/>
        </w:rPr>
        <w:t xml:space="preserve"> intérieurement par Dieu.</w:t>
      </w:r>
      <w:r w:rsidRPr="0097282F">
        <w:rPr>
          <w:szCs w:val="24"/>
        </w:rPr>
        <w:t xml:space="preserve"> </w:t>
      </w:r>
    </w:p>
    <w:p w14:paraId="47834DA6" w14:textId="77777777" w:rsidR="00110CFD" w:rsidRPr="009A506F" w:rsidRDefault="00110CFD" w:rsidP="00110CFD">
      <w:pPr>
        <w:jc w:val="both"/>
        <w:rPr>
          <w:szCs w:val="24"/>
        </w:rPr>
      </w:pPr>
    </w:p>
    <w:p w14:paraId="1346B2FF" w14:textId="68B7E69A" w:rsidR="00110CFD" w:rsidRPr="00DD0D0F" w:rsidRDefault="00110CFD" w:rsidP="00110CFD">
      <w:pPr>
        <w:pStyle w:val="Notedebasdepage"/>
        <w:spacing w:line="276" w:lineRule="auto"/>
        <w:jc w:val="both"/>
        <w:rPr>
          <w:sz w:val="24"/>
          <w:szCs w:val="24"/>
          <w:lang w:val="fr-FR"/>
        </w:rPr>
      </w:pPr>
      <w:r w:rsidRPr="00DD0D0F">
        <w:rPr>
          <w:sz w:val="24"/>
          <w:szCs w:val="24"/>
          <w:lang w:val="fr-FR"/>
        </w:rPr>
        <w:t xml:space="preserve">3 - </w:t>
      </w:r>
      <w:r w:rsidRPr="00184CD4">
        <w:rPr>
          <w:b/>
          <w:i/>
          <w:sz w:val="24"/>
          <w:szCs w:val="24"/>
          <w:lang w:val="fr-FR"/>
        </w:rPr>
        <w:t>« L’inhabitation divine »</w:t>
      </w:r>
      <w:r w:rsidRPr="00DD0D0F">
        <w:rPr>
          <w:sz w:val="24"/>
          <w:szCs w:val="24"/>
          <w:lang w:val="fr-FR"/>
        </w:rPr>
        <w:t xml:space="preserve"> (ou trinitaire) (p. 10, 2)</w:t>
      </w:r>
    </w:p>
    <w:p w14:paraId="1A4DA460" w14:textId="77777777" w:rsidR="00110CFD" w:rsidRPr="00184CD4" w:rsidRDefault="00110CFD" w:rsidP="00110CFD">
      <w:pPr>
        <w:pStyle w:val="Notedebasdepage"/>
        <w:spacing w:line="276" w:lineRule="auto"/>
        <w:jc w:val="both"/>
        <w:rPr>
          <w:b/>
          <w:sz w:val="24"/>
          <w:szCs w:val="24"/>
        </w:rPr>
      </w:pPr>
      <w:r w:rsidRPr="009A506F">
        <w:rPr>
          <w:sz w:val="24"/>
          <w:szCs w:val="24"/>
          <w:lang w:val="fr-FR"/>
        </w:rPr>
        <w:t>Keating écrit </w:t>
      </w:r>
      <w:r w:rsidRPr="00184CD4">
        <w:rPr>
          <w:b/>
          <w:sz w:val="24"/>
          <w:szCs w:val="24"/>
          <w:lang w:val="fr-FR"/>
        </w:rPr>
        <w:t xml:space="preserve">: « </w:t>
      </w:r>
      <w:r w:rsidRPr="00184CD4">
        <w:rPr>
          <w:b/>
          <w:i/>
          <w:sz w:val="24"/>
          <w:szCs w:val="24"/>
          <w:lang w:val="fr-FR"/>
        </w:rPr>
        <w:t>[…] si Dieu n’était pas présent continuellement en tout être, nous n’existerions pas. La</w:t>
      </w:r>
      <w:r w:rsidRPr="00184CD4">
        <w:rPr>
          <w:b/>
          <w:i/>
          <w:sz w:val="24"/>
          <w:szCs w:val="24"/>
        </w:rPr>
        <w:t xml:space="preserve"> Création n’est pas un </w:t>
      </w:r>
      <w:r w:rsidRPr="00184CD4">
        <w:rPr>
          <w:b/>
          <w:i/>
          <w:sz w:val="24"/>
          <w:szCs w:val="24"/>
          <w:lang w:val="fr-FR"/>
        </w:rPr>
        <w:t>évènement fini dans le passé mais un cadeau incessant de tout ce qui existe qui nous est fait. Dieu nous est présent tout le temps. Christ est déjà là. Il ne bouge pas en fait mais c’est nous qui prenons de plus en plus conscience de sa présence</w:t>
      </w:r>
      <w:r w:rsidRPr="00184CD4">
        <w:rPr>
          <w:rStyle w:val="Appelnotedebasdep"/>
          <w:b/>
          <w:sz w:val="24"/>
          <w:szCs w:val="24"/>
          <w:lang w:val="fr-FR"/>
        </w:rPr>
        <w:footnoteReference w:id="2"/>
      </w:r>
      <w:r w:rsidRPr="00184CD4">
        <w:rPr>
          <w:b/>
          <w:sz w:val="24"/>
          <w:szCs w:val="24"/>
          <w:lang w:val="fr-FR"/>
        </w:rPr>
        <w:t xml:space="preserve"> ». </w:t>
      </w:r>
    </w:p>
    <w:p w14:paraId="2FA7B225" w14:textId="77777777" w:rsidR="00110CFD" w:rsidRPr="004F779E" w:rsidRDefault="00110CFD" w:rsidP="00110CFD">
      <w:pPr>
        <w:jc w:val="both"/>
        <w:rPr>
          <w:szCs w:val="24"/>
        </w:rPr>
      </w:pPr>
      <w:r w:rsidRPr="009A506F">
        <w:rPr>
          <w:szCs w:val="24"/>
          <w:shd w:val="clear" w:color="auto" w:fill="FFFFFF"/>
        </w:rPr>
        <w:t xml:space="preserve">Le </w:t>
      </w:r>
      <w:r w:rsidRPr="009A506F">
        <w:rPr>
          <w:szCs w:val="24"/>
        </w:rPr>
        <w:t>mot « inhabitation » est un terme de la théologie patristique (</w:t>
      </w:r>
      <w:r>
        <w:rPr>
          <w:szCs w:val="24"/>
        </w:rPr>
        <w:t>t</w:t>
      </w:r>
      <w:r w:rsidRPr="009A506F">
        <w:rPr>
          <w:szCs w:val="24"/>
        </w:rPr>
        <w:t>héologie des écrivains chrétiens du I</w:t>
      </w:r>
      <w:r w:rsidRPr="009A506F">
        <w:rPr>
          <w:szCs w:val="24"/>
          <w:vertAlign w:val="superscript"/>
        </w:rPr>
        <w:t>er</w:t>
      </w:r>
      <w:r w:rsidRPr="009A506F">
        <w:rPr>
          <w:szCs w:val="24"/>
        </w:rPr>
        <w:t xml:space="preserve"> au VIII</w:t>
      </w:r>
      <w:r w:rsidRPr="009A506F">
        <w:rPr>
          <w:szCs w:val="24"/>
          <w:vertAlign w:val="superscript"/>
        </w:rPr>
        <w:t>e</w:t>
      </w:r>
      <w:r>
        <w:rPr>
          <w:szCs w:val="24"/>
        </w:rPr>
        <w:t> siècle</w:t>
      </w:r>
      <w:r w:rsidRPr="009A506F">
        <w:rPr>
          <w:szCs w:val="24"/>
        </w:rPr>
        <w:t>) selon laquelle la présence de Dieu en nous est plus forte qu'une simple "habitation". Il s'agit d'une profonde</w:t>
      </w:r>
      <w:r w:rsidRPr="009A506F">
        <w:rPr>
          <w:szCs w:val="24"/>
          <w:shd w:val="clear" w:color="auto" w:fill="FFFFFF"/>
        </w:rPr>
        <w:t xml:space="preserve"> communion de Dieu avec chacun de nous, au centre le plus profond de notre être. </w:t>
      </w:r>
      <w:r w:rsidRPr="009A506F">
        <w:rPr>
          <w:bCs/>
          <w:szCs w:val="24"/>
        </w:rPr>
        <w:t>Quant à l</w:t>
      </w:r>
      <w:r w:rsidRPr="009A506F">
        <w:rPr>
          <w:szCs w:val="24"/>
        </w:rPr>
        <w:t xml:space="preserve">’adjectif « trinitaire », il renvoie à la dimension relationnelle de Dieu. Selon la représentation de la tradition chrétienne, Dieu est un être de relation d’Amour. Il s’est révélé en tant que Père, Fils et Esprit, trois Personnes </w:t>
      </w:r>
      <w:r>
        <w:rPr>
          <w:szCs w:val="24"/>
        </w:rPr>
        <w:t xml:space="preserve">infiniment distinctes mais infiniment unies </w:t>
      </w:r>
      <w:r w:rsidRPr="009A506F">
        <w:rPr>
          <w:szCs w:val="24"/>
        </w:rPr>
        <w:t xml:space="preserve">en relation intime </w:t>
      </w:r>
      <w:r>
        <w:rPr>
          <w:szCs w:val="24"/>
        </w:rPr>
        <w:t xml:space="preserve">et </w:t>
      </w:r>
      <w:r w:rsidRPr="009A506F">
        <w:rPr>
          <w:szCs w:val="24"/>
        </w:rPr>
        <w:t xml:space="preserve">constituant un Dieu unique. </w:t>
      </w:r>
    </w:p>
    <w:p w14:paraId="4F6A02EB" w14:textId="77777777" w:rsidR="00110CFD" w:rsidRPr="00DD0D0F" w:rsidRDefault="00110CFD" w:rsidP="00110CFD">
      <w:pPr>
        <w:spacing w:after="0"/>
        <w:jc w:val="both"/>
        <w:rPr>
          <w:szCs w:val="24"/>
        </w:rPr>
      </w:pPr>
      <w:r w:rsidRPr="00DD0D0F">
        <w:rPr>
          <w:szCs w:val="24"/>
        </w:rPr>
        <w:t>4 - Le faux moi, un enfermement sur soi-même</w:t>
      </w:r>
    </w:p>
    <w:p w14:paraId="30FEC42B" w14:textId="77777777" w:rsidR="00110CFD" w:rsidRPr="009A506F" w:rsidRDefault="00110CFD" w:rsidP="00110CFD">
      <w:pPr>
        <w:spacing w:after="0"/>
        <w:jc w:val="both"/>
        <w:rPr>
          <w:szCs w:val="24"/>
        </w:rPr>
      </w:pPr>
      <w:r w:rsidRPr="009A506F">
        <w:rPr>
          <w:b/>
          <w:szCs w:val="24"/>
        </w:rPr>
        <w:t xml:space="preserve">« </w:t>
      </w:r>
      <w:r w:rsidRPr="009A506F">
        <w:rPr>
          <w:b/>
          <w:i/>
          <w:szCs w:val="24"/>
        </w:rPr>
        <w:t xml:space="preserve">[…] </w:t>
      </w:r>
      <w:r w:rsidRPr="009A506F">
        <w:rPr>
          <w:b/>
          <w:i/>
          <w:szCs w:val="24"/>
          <w:lang w:eastAsia="fr-CA"/>
        </w:rPr>
        <w:t>les influences du faux moi (le « vieil homme » de saint Paul</w:t>
      </w:r>
      <w:r w:rsidRPr="008A0FB7">
        <w:rPr>
          <w:rStyle w:val="Appelnotedebasdep"/>
          <w:i/>
          <w:szCs w:val="24"/>
          <w:lang w:eastAsia="fr-CA"/>
        </w:rPr>
        <w:footnoteReference w:id="3"/>
      </w:r>
      <w:r w:rsidRPr="009A506F">
        <w:rPr>
          <w:b/>
          <w:i/>
          <w:szCs w:val="24"/>
          <w:lang w:eastAsia="fr-CA"/>
        </w:rPr>
        <w:t>) qui retarde le processus de transformation de la grâce.</w:t>
      </w:r>
      <w:r w:rsidRPr="009A506F">
        <w:rPr>
          <w:b/>
          <w:szCs w:val="24"/>
          <w:lang w:eastAsia="fr-CA"/>
        </w:rPr>
        <w:t xml:space="preserve"> »</w:t>
      </w:r>
      <w:r w:rsidRPr="009A506F">
        <w:rPr>
          <w:szCs w:val="24"/>
        </w:rPr>
        <w:t xml:space="preserve"> (</w:t>
      </w:r>
      <w:proofErr w:type="gramStart"/>
      <w:r w:rsidRPr="009A506F">
        <w:rPr>
          <w:szCs w:val="24"/>
        </w:rPr>
        <w:t>p.</w:t>
      </w:r>
      <w:proofErr w:type="gramEnd"/>
      <w:r w:rsidRPr="009A506F">
        <w:rPr>
          <w:szCs w:val="24"/>
        </w:rPr>
        <w:t xml:space="preserve"> 10, 2)</w:t>
      </w:r>
    </w:p>
    <w:p w14:paraId="38B87472" w14:textId="77777777" w:rsidR="00110CFD" w:rsidRPr="009A506F" w:rsidRDefault="00110CFD" w:rsidP="00110CFD">
      <w:pPr>
        <w:spacing w:after="0"/>
        <w:jc w:val="both"/>
        <w:rPr>
          <w:szCs w:val="24"/>
        </w:rPr>
      </w:pPr>
      <w:r w:rsidRPr="009A506F">
        <w:rPr>
          <w:szCs w:val="24"/>
        </w:rPr>
        <w:lastRenderedPageBreak/>
        <w:t xml:space="preserve">Keating </w:t>
      </w:r>
      <w:r>
        <w:rPr>
          <w:szCs w:val="24"/>
        </w:rPr>
        <w:t>trait</w:t>
      </w:r>
      <w:r w:rsidRPr="009A506F">
        <w:rPr>
          <w:szCs w:val="24"/>
        </w:rPr>
        <w:t>e souvent du faux moi dans ses publications. Ajoutons seulement quelques lignes</w:t>
      </w:r>
      <w:r>
        <w:rPr>
          <w:szCs w:val="24"/>
        </w:rPr>
        <w:t>,</w:t>
      </w:r>
      <w:r w:rsidRPr="009A506F">
        <w:rPr>
          <w:szCs w:val="24"/>
        </w:rPr>
        <w:t xml:space="preserve"> pour le moment</w:t>
      </w:r>
      <w:r>
        <w:rPr>
          <w:szCs w:val="24"/>
        </w:rPr>
        <w:t>,</w:t>
      </w:r>
      <w:r w:rsidRPr="009A506F">
        <w:rPr>
          <w:szCs w:val="24"/>
        </w:rPr>
        <w:t xml:space="preserve"> à ce qui est déjà au glossaire</w:t>
      </w:r>
      <w:r>
        <w:rPr>
          <w:szCs w:val="24"/>
        </w:rPr>
        <w:t xml:space="preserve"> du livre</w:t>
      </w:r>
      <w:r w:rsidRPr="009A506F">
        <w:rPr>
          <w:szCs w:val="24"/>
        </w:rPr>
        <w:t>.</w:t>
      </w:r>
    </w:p>
    <w:p w14:paraId="1758168E" w14:textId="77777777" w:rsidR="00110CFD" w:rsidRPr="009A506F" w:rsidRDefault="00110CFD" w:rsidP="00110CFD">
      <w:pPr>
        <w:spacing w:after="0"/>
        <w:jc w:val="both"/>
        <w:rPr>
          <w:szCs w:val="24"/>
        </w:rPr>
      </w:pPr>
      <w:r w:rsidRPr="009A506F">
        <w:rPr>
          <w:szCs w:val="24"/>
        </w:rPr>
        <w:t>La première mention du concept de faux moi</w:t>
      </w:r>
      <w:r w:rsidRPr="009A506F">
        <w:rPr>
          <w:szCs w:val="24"/>
        </w:rPr>
        <w:fldChar w:fldCharType="begin"/>
      </w:r>
      <w:r w:rsidRPr="009A506F">
        <w:rPr>
          <w:szCs w:val="24"/>
        </w:rPr>
        <w:instrText xml:space="preserve"> XE "</w:instrText>
      </w:r>
      <w:r w:rsidRPr="009A506F">
        <w:rPr>
          <w:b/>
          <w:szCs w:val="24"/>
        </w:rPr>
        <w:instrText>faux self</w:instrText>
      </w:r>
      <w:r w:rsidRPr="009A506F">
        <w:rPr>
          <w:szCs w:val="24"/>
        </w:rPr>
        <w:instrText xml:space="preserve">" </w:instrText>
      </w:r>
      <w:r w:rsidRPr="009A506F">
        <w:rPr>
          <w:szCs w:val="24"/>
        </w:rPr>
        <w:fldChar w:fldCharType="end"/>
      </w:r>
      <w:r w:rsidRPr="009A506F">
        <w:rPr>
          <w:szCs w:val="24"/>
        </w:rPr>
        <w:t xml:space="preserve"> apparaît lorsque Keating interprète l’épisode de la résurrection</w:t>
      </w:r>
      <w:r w:rsidRPr="009A506F">
        <w:rPr>
          <w:szCs w:val="24"/>
        </w:rPr>
        <w:fldChar w:fldCharType="begin"/>
      </w:r>
      <w:r w:rsidRPr="009A506F">
        <w:rPr>
          <w:szCs w:val="24"/>
        </w:rPr>
        <w:instrText xml:space="preserve"> XE "résurrection" </w:instrText>
      </w:r>
      <w:r w:rsidRPr="009A506F">
        <w:rPr>
          <w:szCs w:val="24"/>
        </w:rPr>
        <w:fldChar w:fldCharType="end"/>
      </w:r>
      <w:r w:rsidRPr="009A506F">
        <w:rPr>
          <w:szCs w:val="24"/>
        </w:rPr>
        <w:t xml:space="preserve"> de Lazare dans l’Évangile de Jean</w:t>
      </w:r>
      <w:r w:rsidRPr="009A506F">
        <w:rPr>
          <w:rStyle w:val="Appelnotedebasdep"/>
          <w:szCs w:val="24"/>
        </w:rPr>
        <w:footnoteReference w:id="4"/>
      </w:r>
      <w:r w:rsidRPr="009A506F">
        <w:rPr>
          <w:szCs w:val="24"/>
        </w:rPr>
        <w:t>. Il explique que l</w:t>
      </w:r>
      <w:r w:rsidRPr="009A506F">
        <w:rPr>
          <w:rFonts w:eastAsia="ArialMT"/>
          <w:szCs w:val="24"/>
        </w:rPr>
        <w:t>a maladie et la mort de Lazare symbolise le faux moi de l’être humain avec toutes ses faiblesses, son ignorance, son orgueil ainsi que toutes les blessures enfouies dans l'inconscient</w:t>
      </w:r>
      <w:r w:rsidRPr="009A506F">
        <w:rPr>
          <w:rFonts w:eastAsia="ArialMT"/>
          <w:szCs w:val="24"/>
        </w:rPr>
        <w:fldChar w:fldCharType="begin"/>
      </w:r>
      <w:r w:rsidRPr="009A506F">
        <w:rPr>
          <w:szCs w:val="24"/>
        </w:rPr>
        <w:instrText xml:space="preserve"> XE "inconscient" </w:instrText>
      </w:r>
      <w:r w:rsidRPr="009A506F">
        <w:rPr>
          <w:rFonts w:eastAsia="ArialMT"/>
          <w:szCs w:val="24"/>
        </w:rPr>
        <w:fldChar w:fldCharType="end"/>
      </w:r>
      <w:r w:rsidRPr="009A506F">
        <w:rPr>
          <w:rFonts w:eastAsia="ArialMT"/>
          <w:szCs w:val="24"/>
        </w:rPr>
        <w:t xml:space="preserve"> depuis la petite enfance</w:t>
      </w:r>
      <w:r w:rsidRPr="009A506F">
        <w:rPr>
          <w:rStyle w:val="Appelnotedebasdep"/>
          <w:rFonts w:eastAsia="ArialMT"/>
          <w:szCs w:val="24"/>
        </w:rPr>
        <w:footnoteReference w:id="5"/>
      </w:r>
      <w:r w:rsidRPr="009A506F">
        <w:rPr>
          <w:rFonts w:eastAsia="ArialMT"/>
          <w:szCs w:val="24"/>
        </w:rPr>
        <w:t xml:space="preserve">. Keating </w:t>
      </w:r>
      <w:r w:rsidRPr="009A506F">
        <w:rPr>
          <w:szCs w:val="24"/>
        </w:rPr>
        <w:t>réfère</w:t>
      </w:r>
      <w:r w:rsidRPr="009A506F">
        <w:rPr>
          <w:rFonts w:eastAsia="ArialMT"/>
          <w:szCs w:val="24"/>
        </w:rPr>
        <w:t xml:space="preserve"> ensuite </w:t>
      </w:r>
      <w:r w:rsidRPr="009A506F">
        <w:rPr>
          <w:szCs w:val="24"/>
        </w:rPr>
        <w:t>à l’entretien de Jésus avec Nicodème</w:t>
      </w:r>
      <w:r w:rsidRPr="009A506F">
        <w:rPr>
          <w:rStyle w:val="Appelnotedebasdep"/>
          <w:szCs w:val="24"/>
        </w:rPr>
        <w:footnoteReference w:id="6"/>
      </w:r>
      <w:r w:rsidRPr="009A506F">
        <w:rPr>
          <w:szCs w:val="24"/>
        </w:rPr>
        <w:t xml:space="preserve"> et à la nécessité de renaître de l’Esprit</w:t>
      </w:r>
      <w:r w:rsidRPr="009A506F">
        <w:rPr>
          <w:szCs w:val="24"/>
        </w:rPr>
        <w:fldChar w:fldCharType="begin"/>
      </w:r>
      <w:r w:rsidRPr="009A506F">
        <w:rPr>
          <w:szCs w:val="24"/>
        </w:rPr>
        <w:instrText xml:space="preserve"> XE "Esprit:esprit" </w:instrText>
      </w:r>
      <w:r w:rsidRPr="009A506F">
        <w:rPr>
          <w:szCs w:val="24"/>
        </w:rPr>
        <w:fldChar w:fldCharType="end"/>
      </w:r>
      <w:r w:rsidRPr="009A506F">
        <w:rPr>
          <w:szCs w:val="24"/>
        </w:rPr>
        <w:t xml:space="preserve"> pour entrer dans le Royaume de Dieu</w:t>
      </w:r>
      <w:r w:rsidRPr="009A506F">
        <w:rPr>
          <w:szCs w:val="24"/>
        </w:rPr>
        <w:fldChar w:fldCharType="begin"/>
      </w:r>
      <w:r w:rsidRPr="009A506F">
        <w:rPr>
          <w:szCs w:val="24"/>
        </w:rPr>
        <w:instrText xml:space="preserve"> XE "</w:instrText>
      </w:r>
      <w:r w:rsidRPr="009A506F">
        <w:rPr>
          <w:szCs w:val="24"/>
          <w:lang w:eastAsia="fr-CA"/>
        </w:rPr>
        <w:instrText>Dieu</w:instrText>
      </w:r>
      <w:r w:rsidRPr="009A506F">
        <w:rPr>
          <w:szCs w:val="24"/>
        </w:rPr>
        <w:instrText xml:space="preserve">" </w:instrText>
      </w:r>
      <w:r w:rsidRPr="009A506F">
        <w:rPr>
          <w:szCs w:val="24"/>
        </w:rPr>
        <w:fldChar w:fldCharType="end"/>
      </w:r>
      <w:r w:rsidRPr="009A506F">
        <w:rPr>
          <w:szCs w:val="24"/>
        </w:rPr>
        <w:t>. Cette renaissance</w:t>
      </w:r>
      <w:r w:rsidRPr="009A506F">
        <w:rPr>
          <w:szCs w:val="24"/>
        </w:rPr>
        <w:fldChar w:fldCharType="begin"/>
      </w:r>
      <w:r w:rsidRPr="009A506F">
        <w:rPr>
          <w:szCs w:val="24"/>
        </w:rPr>
        <w:instrText xml:space="preserve"> XE "renaissance" </w:instrText>
      </w:r>
      <w:r w:rsidRPr="009A506F">
        <w:rPr>
          <w:szCs w:val="24"/>
        </w:rPr>
        <w:fldChar w:fldCharType="end"/>
      </w:r>
      <w:r w:rsidRPr="009A506F">
        <w:rPr>
          <w:szCs w:val="24"/>
        </w:rPr>
        <w:t xml:space="preserve"> implique une lutte entre notre bonté fondamentale, qui est pur don</w:t>
      </w:r>
      <w:r w:rsidRPr="009A506F">
        <w:rPr>
          <w:szCs w:val="24"/>
        </w:rPr>
        <w:fldChar w:fldCharType="begin"/>
      </w:r>
      <w:r w:rsidRPr="009A506F">
        <w:rPr>
          <w:szCs w:val="24"/>
        </w:rPr>
        <w:instrText xml:space="preserve"> XE "don" </w:instrText>
      </w:r>
      <w:r w:rsidRPr="009A506F">
        <w:rPr>
          <w:szCs w:val="24"/>
        </w:rPr>
        <w:fldChar w:fldCharType="end"/>
      </w:r>
      <w:r w:rsidRPr="009A506F">
        <w:rPr>
          <w:szCs w:val="24"/>
        </w:rPr>
        <w:t>, et la propension humaine à la possessivité, l’agressivité, et l’égoïsme du faux moi. Le faux moi nous enferme donc sur nous-mêmes en nous ramenant continuellement à ce que nous pensons qui nous manque</w:t>
      </w:r>
      <w:r w:rsidRPr="009A506F">
        <w:rPr>
          <w:rStyle w:val="Appelnotedebasdep"/>
          <w:szCs w:val="24"/>
        </w:rPr>
        <w:footnoteReference w:id="7"/>
      </w:r>
      <w:r w:rsidRPr="009A506F">
        <w:rPr>
          <w:szCs w:val="24"/>
        </w:rPr>
        <w:t xml:space="preserve">. </w:t>
      </w:r>
    </w:p>
    <w:p w14:paraId="2965F099" w14:textId="77777777" w:rsidR="00110CFD" w:rsidRPr="009A506F" w:rsidRDefault="00110CFD" w:rsidP="00110CFD">
      <w:pPr>
        <w:jc w:val="both"/>
        <w:rPr>
          <w:szCs w:val="24"/>
        </w:rPr>
      </w:pPr>
      <w:r w:rsidRPr="009A506F">
        <w:rPr>
          <w:szCs w:val="24"/>
        </w:rPr>
        <w:t xml:space="preserve">De même que Dieu agit pour ressusciter Lazare, il agit en nous, si nous y consentons, pour démanteler notre faux moi et libérer la bonté fondamentale de notre vrai moi. Ce récit de la résurrection de Lazare peut être vu comme une annonce de la résurrection de Jésus. Nous pouvons aussi </w:t>
      </w:r>
      <w:r>
        <w:rPr>
          <w:szCs w:val="24"/>
        </w:rPr>
        <w:t>interpréte</w:t>
      </w:r>
      <w:r w:rsidRPr="009A506F">
        <w:rPr>
          <w:szCs w:val="24"/>
        </w:rPr>
        <w:t xml:space="preserve">r ce retour à la vie de Lazare comme une figure allégorique de notre propre résurrection déjà commencée </w:t>
      </w:r>
      <w:proofErr w:type="gramStart"/>
      <w:r w:rsidRPr="009A506F">
        <w:rPr>
          <w:szCs w:val="24"/>
        </w:rPr>
        <w:t>suite à</w:t>
      </w:r>
      <w:proofErr w:type="gramEnd"/>
      <w:r w:rsidRPr="009A506F">
        <w:rPr>
          <w:szCs w:val="24"/>
        </w:rPr>
        <w:t xml:space="preserve"> la destruction d</w:t>
      </w:r>
      <w:r>
        <w:rPr>
          <w:szCs w:val="24"/>
        </w:rPr>
        <w:t>e notre</w:t>
      </w:r>
      <w:r w:rsidRPr="009A506F">
        <w:rPr>
          <w:szCs w:val="24"/>
        </w:rPr>
        <w:t xml:space="preserve"> faux moi. La libération de notre vrai moi en résulte et annonce une continuité à </w:t>
      </w:r>
      <w:r>
        <w:rPr>
          <w:szCs w:val="24"/>
        </w:rPr>
        <w:t>notre</w:t>
      </w:r>
      <w:r w:rsidRPr="009A506F">
        <w:rPr>
          <w:szCs w:val="24"/>
        </w:rPr>
        <w:t xml:space="preserve"> résurrection déjà en marche et don</w:t>
      </w:r>
      <w:r>
        <w:rPr>
          <w:szCs w:val="24"/>
        </w:rPr>
        <w:t>t</w:t>
      </w:r>
      <w:r w:rsidRPr="009A506F">
        <w:rPr>
          <w:szCs w:val="24"/>
        </w:rPr>
        <w:t xml:space="preserve"> le meilleur est à venir. Paul de Tarse s’exprime en ce sens à propos de la résurrection : « </w:t>
      </w:r>
      <w:r w:rsidRPr="002367CA">
        <w:rPr>
          <w:szCs w:val="24"/>
        </w:rPr>
        <w:t>[…] nous aussi, qui possédons les prémices de l'Esprit, nous gémissons intérieurement, attendant l'adoption</w:t>
      </w:r>
      <w:r w:rsidRPr="002367CA">
        <w:rPr>
          <w:rStyle w:val="Appelnotedebasdep"/>
          <w:szCs w:val="24"/>
        </w:rPr>
        <w:footnoteReference w:id="8"/>
      </w:r>
      <w:r w:rsidRPr="002367CA">
        <w:rPr>
          <w:szCs w:val="24"/>
        </w:rPr>
        <w:t>, la délivrance pour notre corps</w:t>
      </w:r>
      <w:r w:rsidRPr="002367CA">
        <w:rPr>
          <w:rStyle w:val="Appelnotedebasdep"/>
          <w:szCs w:val="24"/>
        </w:rPr>
        <w:footnoteReference w:id="9"/>
      </w:r>
      <w:r w:rsidRPr="009A506F">
        <w:rPr>
          <w:szCs w:val="24"/>
        </w:rPr>
        <w:t xml:space="preserve"> ». </w:t>
      </w:r>
    </w:p>
    <w:p w14:paraId="46CBDB19" w14:textId="77777777" w:rsidR="00110CFD" w:rsidRDefault="00110CFD" w:rsidP="00110CFD">
      <w:pPr>
        <w:spacing w:after="0"/>
        <w:jc w:val="both"/>
        <w:rPr>
          <w:szCs w:val="24"/>
        </w:rPr>
      </w:pPr>
      <w:r w:rsidRPr="009A506F">
        <w:rPr>
          <w:szCs w:val="24"/>
        </w:rPr>
        <w:t>Pour de plus amples explications</w:t>
      </w:r>
      <w:r>
        <w:rPr>
          <w:szCs w:val="24"/>
        </w:rPr>
        <w:t>,</w:t>
      </w:r>
      <w:r w:rsidRPr="009A506F">
        <w:rPr>
          <w:szCs w:val="24"/>
        </w:rPr>
        <w:t xml:space="preserve"> voir le texte</w:t>
      </w:r>
      <w:r w:rsidRPr="00F35092">
        <w:rPr>
          <w:szCs w:val="24"/>
        </w:rPr>
        <w:t xml:space="preserve"> </w:t>
      </w:r>
      <w:r w:rsidRPr="009A506F">
        <w:rPr>
          <w:szCs w:val="24"/>
        </w:rPr>
        <w:t>sur le faux moi</w:t>
      </w:r>
      <w:r>
        <w:rPr>
          <w:szCs w:val="24"/>
        </w:rPr>
        <w:t xml:space="preserve"> en A5</w:t>
      </w:r>
      <w:r w:rsidRPr="009A506F">
        <w:rPr>
          <w:szCs w:val="24"/>
        </w:rPr>
        <w:t xml:space="preserve">. Pour le vrai moi, </w:t>
      </w:r>
      <w:r>
        <w:rPr>
          <w:szCs w:val="24"/>
        </w:rPr>
        <w:t>le texte en A6.</w:t>
      </w:r>
    </w:p>
    <w:p w14:paraId="15A12CCB" w14:textId="77777777" w:rsidR="00110CFD" w:rsidRDefault="00110CFD" w:rsidP="00110CFD">
      <w:pPr>
        <w:spacing w:after="0"/>
        <w:jc w:val="both"/>
        <w:rPr>
          <w:b/>
          <w:szCs w:val="24"/>
        </w:rPr>
      </w:pPr>
    </w:p>
    <w:p w14:paraId="63403200" w14:textId="77777777" w:rsidR="00110CFD" w:rsidRPr="00DD0D0F" w:rsidRDefault="00110CFD" w:rsidP="00110CFD">
      <w:pPr>
        <w:spacing w:after="0"/>
        <w:jc w:val="both"/>
        <w:rPr>
          <w:szCs w:val="24"/>
        </w:rPr>
      </w:pPr>
      <w:r w:rsidRPr="00DD0D0F">
        <w:rPr>
          <w:szCs w:val="24"/>
        </w:rPr>
        <w:t>5 - La dimension contemplative de l’Évangile, un juste équilibre entre la prière et l’action</w:t>
      </w:r>
    </w:p>
    <w:p w14:paraId="30CB0411" w14:textId="77777777" w:rsidR="00110CFD" w:rsidRPr="009A506F" w:rsidRDefault="00110CFD" w:rsidP="00110CFD">
      <w:pPr>
        <w:spacing w:after="0"/>
        <w:jc w:val="both"/>
        <w:rPr>
          <w:szCs w:val="24"/>
        </w:rPr>
      </w:pPr>
      <w:r w:rsidRPr="00B51792">
        <w:rPr>
          <w:b/>
          <w:szCs w:val="24"/>
        </w:rPr>
        <w:t xml:space="preserve">« </w:t>
      </w:r>
      <w:r w:rsidRPr="00B51792">
        <w:rPr>
          <w:b/>
          <w:i/>
          <w:szCs w:val="24"/>
        </w:rPr>
        <w:t>Cette alternance entre la prière contemplative et l’action […] nous établit dans la dimension contemplative de l’Évangile</w:t>
      </w:r>
      <w:r w:rsidRPr="00B51792">
        <w:rPr>
          <w:b/>
          <w:szCs w:val="24"/>
        </w:rPr>
        <w:t xml:space="preserve"> ». </w:t>
      </w:r>
      <w:r>
        <w:rPr>
          <w:szCs w:val="24"/>
        </w:rPr>
        <w:t>(p.12, 1)</w:t>
      </w:r>
    </w:p>
    <w:p w14:paraId="7767C063" w14:textId="77777777" w:rsidR="00110CFD" w:rsidRPr="00B51792" w:rsidRDefault="00110CFD" w:rsidP="00110CFD">
      <w:pPr>
        <w:spacing w:after="0"/>
        <w:jc w:val="both"/>
        <w:rPr>
          <w:szCs w:val="24"/>
        </w:rPr>
      </w:pPr>
      <w:r w:rsidRPr="00B51792">
        <w:rPr>
          <w:szCs w:val="24"/>
        </w:rPr>
        <w:t xml:space="preserve">Keating réfère à </w:t>
      </w:r>
      <w:r>
        <w:rPr>
          <w:szCs w:val="24"/>
        </w:rPr>
        <w:t>l’expérience mystique de Jésus qui parle de Dieu comme d’un « Abba</w:t>
      </w:r>
      <w:r>
        <w:rPr>
          <w:rStyle w:val="Appelnotedebasdep"/>
          <w:szCs w:val="24"/>
        </w:rPr>
        <w:footnoteReference w:id="10"/>
      </w:r>
      <w:r>
        <w:rPr>
          <w:szCs w:val="24"/>
        </w:rPr>
        <w:t> » soit d’un père aimant. Keating mentionne</w:t>
      </w:r>
      <w:r>
        <w:rPr>
          <w:rStyle w:val="Appelnotedebasdep"/>
          <w:szCs w:val="24"/>
        </w:rPr>
        <w:footnoteReference w:id="11"/>
      </w:r>
      <w:r>
        <w:rPr>
          <w:szCs w:val="24"/>
        </w:rPr>
        <w:t xml:space="preserve"> aussi l’expérience spirituelle des Pères de l’Église</w:t>
      </w:r>
      <w:r>
        <w:rPr>
          <w:rStyle w:val="Appelnotedebasdep"/>
          <w:szCs w:val="24"/>
        </w:rPr>
        <w:footnoteReference w:id="12"/>
      </w:r>
      <w:r>
        <w:rPr>
          <w:szCs w:val="24"/>
        </w:rPr>
        <w:t xml:space="preserve"> qui </w:t>
      </w:r>
      <w:r>
        <w:rPr>
          <w:szCs w:val="24"/>
        </w:rPr>
        <w:lastRenderedPageBreak/>
        <w:t>interprétaient l’Évangile en parlant du « sens spirituel » ou du sens « allégorique</w:t>
      </w:r>
      <w:r>
        <w:rPr>
          <w:rStyle w:val="Appelnotedebasdep"/>
          <w:szCs w:val="24"/>
        </w:rPr>
        <w:footnoteReference w:id="13"/>
      </w:r>
      <w:r>
        <w:rPr>
          <w:szCs w:val="24"/>
        </w:rPr>
        <w:t>» des Écritures. Cette manière de recevoir les Écritures, implique une prise de conscience à savoir que le même Esprit, qui a inspiré les Écritures, est présent aussi en nous et nous inspire pour que nous en percevions les liens avec notre propre expérience de Dieu</w:t>
      </w:r>
      <w:r>
        <w:rPr>
          <w:rStyle w:val="Appelnotedebasdep"/>
          <w:szCs w:val="24"/>
        </w:rPr>
        <w:footnoteReference w:id="14"/>
      </w:r>
      <w:r>
        <w:rPr>
          <w:szCs w:val="24"/>
        </w:rPr>
        <w:t xml:space="preserve"> </w:t>
      </w:r>
      <w:r w:rsidRPr="009A506F">
        <w:rPr>
          <w:szCs w:val="24"/>
        </w:rPr>
        <w:t>dans le contexte actuel.</w:t>
      </w:r>
    </w:p>
    <w:p w14:paraId="624C895A" w14:textId="4BE6A92E" w:rsidR="00110CFD" w:rsidRDefault="00110CFD" w:rsidP="00110CFD">
      <w:pPr>
        <w:spacing w:after="0"/>
        <w:jc w:val="both"/>
        <w:rPr>
          <w:szCs w:val="24"/>
        </w:rPr>
      </w:pPr>
      <w:r w:rsidRPr="009A506F">
        <w:rPr>
          <w:szCs w:val="24"/>
        </w:rPr>
        <w:t xml:space="preserve">Un bon équilibre entre apophatisme et </w:t>
      </w:r>
      <w:proofErr w:type="spellStart"/>
      <w:r w:rsidRPr="009A506F">
        <w:rPr>
          <w:szCs w:val="24"/>
        </w:rPr>
        <w:t>cataphatisme</w:t>
      </w:r>
      <w:proofErr w:type="spellEnd"/>
      <w:r w:rsidRPr="009A506F">
        <w:rPr>
          <w:szCs w:val="24"/>
        </w:rPr>
        <w:t xml:space="preserve"> donne accès à la dimension contemplative de l’Évangile, en associant prière et actions</w:t>
      </w:r>
      <w:r w:rsidRPr="009A506F">
        <w:rPr>
          <w:rStyle w:val="Appelnotedebasdep"/>
          <w:szCs w:val="24"/>
        </w:rPr>
        <w:footnoteReference w:id="15"/>
      </w:r>
      <w:r w:rsidRPr="009A506F">
        <w:rPr>
          <w:szCs w:val="24"/>
        </w:rPr>
        <w:t>. Cet équilibre permet de relier plus facilement vie concrète et inspiration de l’Esprit, ressentis dans le silence intérieur, avec les efforts intellectuels pour articuler un discours théologique. La prière contemplative sans une action qui émerge d’elle stagne, et l’action sans le ressourcement continuel de la prière cherche un but</w:t>
      </w:r>
      <w:r w:rsidRPr="009A506F">
        <w:rPr>
          <w:rStyle w:val="Appelnotedebasdep"/>
          <w:szCs w:val="24"/>
        </w:rPr>
        <w:footnoteReference w:id="16"/>
      </w:r>
      <w:r w:rsidRPr="009A506F">
        <w:rPr>
          <w:szCs w:val="24"/>
        </w:rPr>
        <w:t>.</w:t>
      </w:r>
    </w:p>
    <w:p w14:paraId="6AF5298B" w14:textId="77777777" w:rsidR="00110CFD" w:rsidRDefault="00110CFD" w:rsidP="00110CFD">
      <w:pPr>
        <w:spacing w:after="0"/>
        <w:jc w:val="both"/>
        <w:rPr>
          <w:szCs w:val="24"/>
        </w:rPr>
      </w:pPr>
    </w:p>
    <w:p w14:paraId="2D3E3769" w14:textId="0752A011" w:rsidR="00110CFD" w:rsidRDefault="00110CFD" w:rsidP="00110CFD">
      <w:pPr>
        <w:rPr>
          <w:szCs w:val="24"/>
        </w:rPr>
      </w:pPr>
      <w:r>
        <w:rPr>
          <w:szCs w:val="24"/>
        </w:rPr>
        <w:t xml:space="preserve">Bertrand Giguère </w:t>
      </w:r>
      <w:proofErr w:type="gramStart"/>
      <w:r>
        <w:rPr>
          <w:szCs w:val="24"/>
        </w:rPr>
        <w:t>-  septembre</w:t>
      </w:r>
      <w:proofErr w:type="gramEnd"/>
      <w:r>
        <w:rPr>
          <w:szCs w:val="24"/>
        </w:rPr>
        <w:t xml:space="preserve"> 2022</w:t>
      </w:r>
    </w:p>
    <w:p w14:paraId="062EE9A0" w14:textId="77777777" w:rsidR="00514248" w:rsidRDefault="00514248"/>
    <w:sectPr w:rsidR="0051424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F58F0" w14:textId="77777777" w:rsidR="00110CFD" w:rsidRDefault="00110CFD" w:rsidP="00110CFD">
      <w:pPr>
        <w:spacing w:after="0" w:line="240" w:lineRule="auto"/>
      </w:pPr>
      <w:r>
        <w:separator/>
      </w:r>
    </w:p>
  </w:endnote>
  <w:endnote w:type="continuationSeparator" w:id="0">
    <w:p w14:paraId="27718D46" w14:textId="77777777" w:rsidR="00110CFD" w:rsidRDefault="00110CFD" w:rsidP="00110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4BF66" w14:textId="77777777" w:rsidR="00110CFD" w:rsidRDefault="00110CFD" w:rsidP="00110CFD">
      <w:pPr>
        <w:spacing w:after="0" w:line="240" w:lineRule="auto"/>
      </w:pPr>
      <w:r>
        <w:separator/>
      </w:r>
    </w:p>
  </w:footnote>
  <w:footnote w:type="continuationSeparator" w:id="0">
    <w:p w14:paraId="51EE4A2D" w14:textId="77777777" w:rsidR="00110CFD" w:rsidRDefault="00110CFD" w:rsidP="00110CFD">
      <w:pPr>
        <w:spacing w:after="0" w:line="240" w:lineRule="auto"/>
      </w:pPr>
      <w:r>
        <w:continuationSeparator/>
      </w:r>
    </w:p>
  </w:footnote>
  <w:footnote w:id="1">
    <w:p w14:paraId="46E07855" w14:textId="77777777" w:rsidR="00110CFD" w:rsidRPr="00BE358B" w:rsidRDefault="00110CFD" w:rsidP="00110CFD">
      <w:pPr>
        <w:tabs>
          <w:tab w:val="left" w:pos="0"/>
        </w:tabs>
        <w:spacing w:after="0" w:line="240" w:lineRule="auto"/>
        <w:ind w:hanging="567"/>
        <w:jc w:val="both"/>
        <w:rPr>
          <w:sz w:val="20"/>
          <w:szCs w:val="20"/>
        </w:rPr>
      </w:pPr>
      <w:r w:rsidRPr="006B7C5C">
        <w:rPr>
          <w:sz w:val="20"/>
          <w:szCs w:val="20"/>
          <w:lang w:val="en-CA"/>
        </w:rPr>
        <w:tab/>
      </w:r>
      <w:r w:rsidRPr="00BE358B">
        <w:rPr>
          <w:rStyle w:val="Appelnotedebasdep"/>
          <w:sz w:val="20"/>
          <w:szCs w:val="20"/>
        </w:rPr>
        <w:footnoteRef/>
      </w:r>
      <w:r w:rsidRPr="00BE358B">
        <w:rPr>
          <w:rStyle w:val="Appelnotedebasdep"/>
          <w:sz w:val="20"/>
          <w:szCs w:val="20"/>
        </w:rPr>
        <w:t xml:space="preserve"> </w:t>
      </w:r>
      <w:r w:rsidRPr="00BE358B">
        <w:rPr>
          <w:sz w:val="20"/>
          <w:szCs w:val="20"/>
        </w:rPr>
        <w:t xml:space="preserve">M. de CERTEAU. « La rupture instauratrice, une problématique de la foi, la " permission " ou l’événement », dans </w:t>
      </w:r>
      <w:r w:rsidRPr="00BE358B">
        <w:rPr>
          <w:i/>
          <w:sz w:val="20"/>
          <w:szCs w:val="20"/>
        </w:rPr>
        <w:t>La faiblesse de croire</w:t>
      </w:r>
      <w:r w:rsidRPr="00BE358B">
        <w:rPr>
          <w:sz w:val="20"/>
          <w:szCs w:val="20"/>
        </w:rPr>
        <w:t>, Éditions de minuit/Seuil, France, 1987, p. 209-212.</w:t>
      </w:r>
    </w:p>
  </w:footnote>
  <w:footnote w:id="2">
    <w:p w14:paraId="2C752FC5" w14:textId="77777777" w:rsidR="00110CFD" w:rsidRPr="00BE358B" w:rsidRDefault="00110CFD" w:rsidP="00110CFD">
      <w:pPr>
        <w:pStyle w:val="Notedebasdepage"/>
        <w:jc w:val="both"/>
        <w:rPr>
          <w:lang w:val="en-US"/>
        </w:rPr>
      </w:pPr>
      <w:r w:rsidRPr="00BE358B">
        <w:rPr>
          <w:rStyle w:val="Appelnotedebasdep"/>
        </w:rPr>
        <w:footnoteRef/>
      </w:r>
      <w:r w:rsidRPr="00BE358B">
        <w:rPr>
          <w:lang w:val="en-US"/>
        </w:rPr>
        <w:t xml:space="preserve"> T. KEATING. </w:t>
      </w:r>
      <w:r w:rsidRPr="00BE358B">
        <w:rPr>
          <w:i/>
          <w:lang w:val="en-US"/>
        </w:rPr>
        <w:t>The Divine Indwelling,</w:t>
      </w:r>
      <w:r w:rsidRPr="00BE358B">
        <w:rPr>
          <w:rFonts w:eastAsia="Times New Roman"/>
          <w:bCs/>
          <w:i/>
          <w:iCs/>
          <w:lang w:val="en-US" w:eastAsia="fr-CA"/>
        </w:rPr>
        <w:t xml:space="preserve"> Centering Prayer and Its Development</w:t>
      </w:r>
      <w:r w:rsidRPr="00BE358B">
        <w:rPr>
          <w:rFonts w:eastAsia="Times New Roman"/>
          <w:lang w:val="en-US" w:eastAsia="fr-CA"/>
        </w:rPr>
        <w:t>, New York, Lantern Books, 2001,</w:t>
      </w:r>
      <w:r w:rsidRPr="00BE358B">
        <w:rPr>
          <w:lang w:val="en-US"/>
        </w:rPr>
        <w:t xml:space="preserve"> p. 1-10.</w:t>
      </w:r>
    </w:p>
  </w:footnote>
  <w:footnote w:id="3">
    <w:p w14:paraId="26B658B5" w14:textId="77777777" w:rsidR="00110CFD" w:rsidRPr="00BE358B" w:rsidRDefault="00110CFD" w:rsidP="00110CFD">
      <w:pPr>
        <w:pStyle w:val="Notedebasdepage"/>
        <w:jc w:val="both"/>
      </w:pPr>
      <w:r w:rsidRPr="00BE358B">
        <w:rPr>
          <w:rStyle w:val="Appelnotedebasdep"/>
        </w:rPr>
        <w:footnoteRef/>
      </w:r>
      <w:r w:rsidRPr="00BE358B">
        <w:t xml:space="preserve"> </w:t>
      </w:r>
      <w:r w:rsidRPr="00BE358B">
        <w:rPr>
          <w:rFonts w:eastAsia="Times New Roman"/>
          <w:lang w:eastAsia="fr-CA"/>
        </w:rPr>
        <w:t>On trouve plusieurs passages dans le Nouveau Testament, par exemple, dans l</w:t>
      </w:r>
      <w:r>
        <w:rPr>
          <w:rFonts w:eastAsia="Times New Roman"/>
          <w:lang w:eastAsia="fr-CA"/>
        </w:rPr>
        <w:t>a lettre</w:t>
      </w:r>
      <w:r w:rsidRPr="00BE358B">
        <w:rPr>
          <w:rFonts w:eastAsia="Times New Roman"/>
          <w:lang w:eastAsia="fr-CA"/>
        </w:rPr>
        <w:t xml:space="preserve"> de Paul</w:t>
      </w:r>
      <w:r>
        <w:rPr>
          <w:rFonts w:eastAsia="Times New Roman"/>
          <w:lang w:eastAsia="fr-CA"/>
        </w:rPr>
        <w:t> aux Éphésiens (4, 22-24)</w:t>
      </w:r>
      <w:r w:rsidRPr="00BE358B">
        <w:rPr>
          <w:rFonts w:eastAsia="Times New Roman"/>
          <w:lang w:eastAsia="fr-CA"/>
        </w:rPr>
        <w:t>: « […] il vous faut abandonner votre premier genre de vie et dépouiller le vieil homme, qui va se corrompant au fil des convoitises décevantes, pour vous renouveler par une transformation spirituelle de votre jugement et revêtir l’Homme Nouveau qui a été créé selon Dieu, dans la justice et la sainteté de la vérité. »</w:t>
      </w:r>
    </w:p>
  </w:footnote>
  <w:footnote w:id="4">
    <w:p w14:paraId="3C75DDD0" w14:textId="77777777" w:rsidR="00110CFD" w:rsidRPr="00BE358B" w:rsidRDefault="00110CFD" w:rsidP="00110CFD">
      <w:pPr>
        <w:pStyle w:val="Sansinterligne"/>
        <w:rPr>
          <w:sz w:val="20"/>
          <w:szCs w:val="20"/>
        </w:rPr>
      </w:pPr>
      <w:r w:rsidRPr="00BE358B">
        <w:rPr>
          <w:rStyle w:val="Appelnotedebasdep"/>
          <w:rFonts w:eastAsiaTheme="minorHAnsi"/>
          <w:color w:val="auto"/>
          <w:sz w:val="20"/>
          <w:szCs w:val="20"/>
        </w:rPr>
        <w:footnoteRef/>
      </w:r>
      <w:r w:rsidRPr="00BE358B">
        <w:rPr>
          <w:rStyle w:val="Appelnotedebasdep"/>
          <w:rFonts w:eastAsiaTheme="minorHAnsi"/>
          <w:color w:val="auto"/>
          <w:sz w:val="20"/>
          <w:szCs w:val="20"/>
        </w:rPr>
        <w:t xml:space="preserve"> </w:t>
      </w:r>
      <w:proofErr w:type="spellStart"/>
      <w:r w:rsidRPr="00BE358B">
        <w:rPr>
          <w:sz w:val="20"/>
          <w:szCs w:val="20"/>
        </w:rPr>
        <w:t>Jn</w:t>
      </w:r>
      <w:proofErr w:type="spellEnd"/>
      <w:r w:rsidRPr="00BE358B">
        <w:rPr>
          <w:sz w:val="20"/>
          <w:szCs w:val="20"/>
        </w:rPr>
        <w:t xml:space="preserve"> 11, 1-44. Le mot « Lazare » signifie : « </w:t>
      </w:r>
      <w:hyperlink r:id="rId1" w:tooltip="Dieu" w:history="1">
        <w:r w:rsidRPr="00BE358B">
          <w:rPr>
            <w:sz w:val="20"/>
            <w:szCs w:val="20"/>
          </w:rPr>
          <w:t>Dieu</w:t>
        </w:r>
      </w:hyperlink>
      <w:r w:rsidRPr="00BE358B">
        <w:rPr>
          <w:sz w:val="20"/>
          <w:szCs w:val="20"/>
        </w:rPr>
        <w:t> a aidé ».</w:t>
      </w:r>
    </w:p>
  </w:footnote>
  <w:footnote w:id="5">
    <w:p w14:paraId="10CB4809" w14:textId="77777777" w:rsidR="00110CFD" w:rsidRPr="00D162AF" w:rsidRDefault="00110CFD" w:rsidP="00110CFD">
      <w:pPr>
        <w:pStyle w:val="Sansinterligne"/>
        <w:rPr>
          <w:sz w:val="20"/>
          <w:szCs w:val="20"/>
          <w:lang w:val="en-CA"/>
        </w:rPr>
      </w:pPr>
      <w:r w:rsidRPr="00BE358B">
        <w:rPr>
          <w:rStyle w:val="Appelnotedebasdep"/>
          <w:sz w:val="20"/>
          <w:szCs w:val="20"/>
        </w:rPr>
        <w:footnoteRef/>
      </w:r>
      <w:r w:rsidRPr="00BE358B">
        <w:rPr>
          <w:sz w:val="20"/>
          <w:szCs w:val="20"/>
          <w:lang w:val="en-CA"/>
        </w:rPr>
        <w:t xml:space="preserve"> </w:t>
      </w:r>
      <w:r w:rsidRPr="00D162AF">
        <w:rPr>
          <w:sz w:val="20"/>
          <w:szCs w:val="20"/>
          <w:lang w:val="en-CA"/>
        </w:rPr>
        <w:t xml:space="preserve">T. KEATING. </w:t>
      </w:r>
      <w:r w:rsidRPr="003E2585">
        <w:rPr>
          <w:i/>
          <w:sz w:val="20"/>
          <w:szCs w:val="20"/>
          <w:lang w:val="en-CA"/>
        </w:rPr>
        <w:t>Crisis of Faith, Crisis of Love</w:t>
      </w:r>
      <w:r w:rsidRPr="00D162AF">
        <w:rPr>
          <w:sz w:val="20"/>
          <w:szCs w:val="20"/>
          <w:lang w:val="en-CA"/>
        </w:rPr>
        <w:t>, New York, Continuum 1995, p. 95.</w:t>
      </w:r>
    </w:p>
  </w:footnote>
  <w:footnote w:id="6">
    <w:p w14:paraId="61974215" w14:textId="77777777" w:rsidR="00110CFD" w:rsidRPr="00BE358B" w:rsidRDefault="00110CFD" w:rsidP="00110CFD">
      <w:pPr>
        <w:pStyle w:val="Sansinterligne"/>
        <w:rPr>
          <w:sz w:val="20"/>
          <w:szCs w:val="20"/>
          <w:lang w:val="en-CA"/>
        </w:rPr>
      </w:pPr>
      <w:r w:rsidRPr="00BE358B">
        <w:rPr>
          <w:rStyle w:val="Appelnotedebasdep"/>
          <w:sz w:val="20"/>
          <w:szCs w:val="20"/>
        </w:rPr>
        <w:footnoteRef/>
      </w:r>
      <w:r w:rsidRPr="00BE358B">
        <w:rPr>
          <w:sz w:val="20"/>
          <w:szCs w:val="20"/>
          <w:lang w:val="en-CA"/>
        </w:rPr>
        <w:t xml:space="preserve"> Jn 3, 1-21. </w:t>
      </w:r>
    </w:p>
  </w:footnote>
  <w:footnote w:id="7">
    <w:p w14:paraId="02CEFE0B" w14:textId="77777777" w:rsidR="00110CFD" w:rsidRPr="00BE358B" w:rsidRDefault="00110CFD" w:rsidP="00110CFD">
      <w:pPr>
        <w:pStyle w:val="Sansinterligne"/>
        <w:rPr>
          <w:sz w:val="20"/>
          <w:szCs w:val="20"/>
          <w:lang w:val="en-CA"/>
        </w:rPr>
      </w:pPr>
      <w:r w:rsidRPr="00BE358B">
        <w:rPr>
          <w:rStyle w:val="Appelnotedebasdep"/>
          <w:sz w:val="20"/>
          <w:szCs w:val="20"/>
        </w:rPr>
        <w:footnoteRef/>
      </w:r>
      <w:r w:rsidRPr="00BE358B">
        <w:rPr>
          <w:sz w:val="20"/>
          <w:szCs w:val="20"/>
          <w:lang w:val="en-CA"/>
        </w:rPr>
        <w:t xml:space="preserve"> </w:t>
      </w:r>
      <w:r w:rsidRPr="00BE358B">
        <w:rPr>
          <w:color w:val="000000" w:themeColor="text1"/>
          <w:sz w:val="20"/>
          <w:szCs w:val="20"/>
          <w:lang w:val="en-US"/>
        </w:rPr>
        <w:t>T. KEATING.</w:t>
      </w:r>
      <w:r w:rsidRPr="00BE358B">
        <w:rPr>
          <w:sz w:val="20"/>
          <w:szCs w:val="20"/>
          <w:lang w:val="en-CA"/>
        </w:rPr>
        <w:t xml:space="preserve"> </w:t>
      </w:r>
      <w:r w:rsidRPr="003E2585">
        <w:rPr>
          <w:i/>
          <w:sz w:val="20"/>
          <w:szCs w:val="20"/>
          <w:lang w:val="en-CA" w:eastAsia="fr-CA"/>
        </w:rPr>
        <w:t xml:space="preserve">The Heart of the World, </w:t>
      </w:r>
      <w:r w:rsidRPr="003E2585">
        <w:rPr>
          <w:bCs/>
          <w:i/>
          <w:iCs/>
          <w:sz w:val="20"/>
          <w:szCs w:val="20"/>
          <w:lang w:val="en-US" w:eastAsia="fr-CA"/>
        </w:rPr>
        <w:t>An Introduction to Contemplative Christianity</w:t>
      </w:r>
      <w:r w:rsidRPr="00BE358B">
        <w:rPr>
          <w:sz w:val="20"/>
          <w:szCs w:val="20"/>
          <w:lang w:val="en-US" w:eastAsia="fr-CA"/>
        </w:rPr>
        <w:t>, New York, Crossroad, 2008,</w:t>
      </w:r>
      <w:r w:rsidRPr="00BE358B">
        <w:rPr>
          <w:sz w:val="20"/>
          <w:szCs w:val="20"/>
          <w:lang w:val="en-CA" w:eastAsia="fr-CA"/>
        </w:rPr>
        <w:t xml:space="preserve"> p. 19.</w:t>
      </w:r>
    </w:p>
  </w:footnote>
  <w:footnote w:id="8">
    <w:p w14:paraId="59F49A60" w14:textId="77777777" w:rsidR="00110CFD" w:rsidRPr="00BE358B" w:rsidRDefault="00110CFD" w:rsidP="00110CFD">
      <w:pPr>
        <w:pStyle w:val="Notedebasdepage"/>
        <w:jc w:val="both"/>
        <w:rPr>
          <w:lang w:val="en-CA"/>
        </w:rPr>
      </w:pPr>
      <w:r w:rsidRPr="00BE358B">
        <w:rPr>
          <w:rStyle w:val="Appelnotedebasdep"/>
        </w:rPr>
        <w:footnoteRef/>
      </w:r>
      <w:r w:rsidRPr="00BE358B">
        <w:t xml:space="preserve"> Nous sommes les enfants de Dieu, mais le mot « </w:t>
      </w:r>
      <w:r w:rsidRPr="003E2585">
        <w:t>adoption</w:t>
      </w:r>
      <w:r w:rsidRPr="00BE358B">
        <w:t xml:space="preserve"> » vient préciser que nous ne sommes pas égaux </w:t>
      </w:r>
      <w:r>
        <w:t xml:space="preserve">ni identiques </w:t>
      </w:r>
      <w:r w:rsidRPr="00BE358B">
        <w:t xml:space="preserve">à Dieu, bien que nous participions à la nature divine et soyons promis par la résurrection à une divinisation. </w:t>
      </w:r>
      <w:r w:rsidRPr="00BE358B">
        <w:rPr>
          <w:i/>
          <w:lang w:val="en-CA"/>
        </w:rPr>
        <w:t>Cf</w:t>
      </w:r>
      <w:r w:rsidRPr="00BE358B">
        <w:rPr>
          <w:lang w:val="en-CA"/>
        </w:rPr>
        <w:t xml:space="preserve">., Ga 4, 5 et note o. </w:t>
      </w:r>
    </w:p>
  </w:footnote>
  <w:footnote w:id="9">
    <w:p w14:paraId="17D33F6E" w14:textId="77777777" w:rsidR="00110CFD" w:rsidRPr="00BE358B" w:rsidRDefault="00110CFD" w:rsidP="00110CFD">
      <w:pPr>
        <w:pStyle w:val="Notedebasdepage"/>
        <w:jc w:val="both"/>
        <w:rPr>
          <w:lang w:val="en-CA"/>
        </w:rPr>
      </w:pPr>
      <w:r w:rsidRPr="00BE358B">
        <w:rPr>
          <w:rStyle w:val="Appelnotedebasdep"/>
        </w:rPr>
        <w:footnoteRef/>
      </w:r>
      <w:r w:rsidRPr="00BE358B">
        <w:rPr>
          <w:lang w:val="en-CA"/>
        </w:rPr>
        <w:t xml:space="preserve"> Rm 8, 23.</w:t>
      </w:r>
    </w:p>
  </w:footnote>
  <w:footnote w:id="10">
    <w:p w14:paraId="1E350E51" w14:textId="77777777" w:rsidR="00110CFD" w:rsidRPr="00B51792" w:rsidRDefault="00110CFD" w:rsidP="00110CFD">
      <w:pPr>
        <w:pStyle w:val="Notedebasdepage"/>
        <w:jc w:val="both"/>
        <w:rPr>
          <w:lang w:val="en-US"/>
        </w:rPr>
      </w:pPr>
      <w:r>
        <w:rPr>
          <w:rStyle w:val="Appelnotedebasdep"/>
        </w:rPr>
        <w:footnoteRef/>
      </w:r>
      <w:r w:rsidRPr="00B51792">
        <w:rPr>
          <w:lang w:val="en-CA"/>
        </w:rPr>
        <w:t xml:space="preserve"> </w:t>
      </w:r>
      <w:r w:rsidRPr="00BE358B">
        <w:rPr>
          <w:lang w:val="en-US"/>
        </w:rPr>
        <w:t xml:space="preserve">T. KEATING. </w:t>
      </w:r>
      <w:r w:rsidRPr="00BE358B">
        <w:rPr>
          <w:i/>
          <w:lang w:val="en-US"/>
        </w:rPr>
        <w:t xml:space="preserve">Manifesting God, </w:t>
      </w:r>
      <w:r w:rsidRPr="00BE358B">
        <w:rPr>
          <w:lang w:val="en-US"/>
        </w:rPr>
        <w:t>New York, Lantern Books, 2005, p. 32.</w:t>
      </w:r>
    </w:p>
  </w:footnote>
  <w:footnote w:id="11">
    <w:p w14:paraId="74730B78" w14:textId="2EDF69B2" w:rsidR="00110CFD" w:rsidRPr="006B7C5C" w:rsidRDefault="00110CFD" w:rsidP="00110CFD">
      <w:pPr>
        <w:pStyle w:val="Notedebasdepage"/>
        <w:jc w:val="both"/>
      </w:pPr>
      <w:r>
        <w:rPr>
          <w:rStyle w:val="Appelnotedebasdep"/>
        </w:rPr>
        <w:footnoteRef/>
      </w:r>
      <w:r>
        <w:t xml:space="preserve"> </w:t>
      </w:r>
      <w:r w:rsidRPr="00BE358B">
        <w:t xml:space="preserve">T. KEATING. </w:t>
      </w:r>
      <w:r w:rsidRPr="00BE358B">
        <w:rPr>
          <w:i/>
        </w:rPr>
        <w:t>Prier dans le secret,</w:t>
      </w:r>
      <w:r w:rsidRPr="00BE358B">
        <w:t xml:space="preserve"> Éd. </w:t>
      </w:r>
      <w:r w:rsidRPr="006B7C5C">
        <w:t xml:space="preserve">Anne </w:t>
      </w:r>
      <w:proofErr w:type="spellStart"/>
      <w:r w:rsidRPr="006B7C5C">
        <w:t>Sigier</w:t>
      </w:r>
      <w:proofErr w:type="spellEnd"/>
      <w:r w:rsidRPr="006B7C5C">
        <w:t>, Paris, 2009, p. 13.</w:t>
      </w:r>
    </w:p>
  </w:footnote>
  <w:footnote w:id="12">
    <w:p w14:paraId="7C8BF6D2" w14:textId="77777777" w:rsidR="00110CFD" w:rsidRPr="00577044" w:rsidRDefault="00110CFD" w:rsidP="00110CFD">
      <w:pPr>
        <w:pStyle w:val="Sansinterligne"/>
        <w:rPr>
          <w:i/>
          <w:color w:val="222222"/>
          <w:shd w:val="clear" w:color="auto" w:fill="FFFFFF"/>
        </w:rPr>
      </w:pPr>
      <w:r>
        <w:rPr>
          <w:rStyle w:val="Appelnotedebasdep"/>
        </w:rPr>
        <w:footnoteRef/>
      </w:r>
      <w:r w:rsidRPr="007512F3">
        <w:t xml:space="preserve"> </w:t>
      </w:r>
      <w:r w:rsidRPr="007512F3">
        <w:rPr>
          <w:sz w:val="20"/>
          <w:szCs w:val="20"/>
          <w:shd w:val="clear" w:color="auto" w:fill="FFFFFF"/>
        </w:rPr>
        <w:t>Depuis le XVI</w:t>
      </w:r>
      <w:r w:rsidRPr="007512F3">
        <w:rPr>
          <w:sz w:val="20"/>
          <w:szCs w:val="20"/>
          <w:shd w:val="clear" w:color="auto" w:fill="FFFFFF"/>
          <w:vertAlign w:val="superscript"/>
        </w:rPr>
        <w:t>e</w:t>
      </w:r>
      <w:r w:rsidRPr="007512F3">
        <w:rPr>
          <w:sz w:val="20"/>
          <w:szCs w:val="20"/>
          <w:shd w:val="clear" w:color="auto" w:fill="FFFFFF"/>
        </w:rPr>
        <w:t> siècle, l'historiographie moderne appelle « Pères de l'Église »</w:t>
      </w:r>
      <w:r w:rsidRPr="007512F3">
        <w:rPr>
          <w:sz w:val="20"/>
          <w:szCs w:val="20"/>
          <w:shd w:val="clear" w:color="auto" w:fill="FFFFFF"/>
        </w:rPr>
        <w:fldChar w:fldCharType="begin"/>
      </w:r>
      <w:r w:rsidRPr="007512F3">
        <w:rPr>
          <w:sz w:val="20"/>
          <w:szCs w:val="20"/>
        </w:rPr>
        <w:instrText xml:space="preserve"> XE "Église" </w:instrText>
      </w:r>
      <w:r w:rsidRPr="007512F3">
        <w:rPr>
          <w:sz w:val="20"/>
          <w:szCs w:val="20"/>
          <w:shd w:val="clear" w:color="auto" w:fill="FFFFFF"/>
        </w:rPr>
        <w:fldChar w:fldCharType="end"/>
      </w:r>
      <w:r w:rsidRPr="007512F3">
        <w:rPr>
          <w:sz w:val="20"/>
          <w:szCs w:val="20"/>
          <w:shd w:val="clear" w:color="auto" w:fill="FFFFFF"/>
        </w:rPr>
        <w:t> des auteurs ecclésiastiques</w:t>
      </w:r>
      <w:r w:rsidRPr="007512F3">
        <w:rPr>
          <w:sz w:val="20"/>
          <w:szCs w:val="20"/>
        </w:rPr>
        <w:t xml:space="preserve"> </w:t>
      </w:r>
      <w:r w:rsidRPr="007512F3">
        <w:rPr>
          <w:sz w:val="20"/>
          <w:szCs w:val="20"/>
          <w:shd w:val="clear" w:color="auto" w:fill="FFFFFF"/>
        </w:rPr>
        <w:t>(avant le VIII</w:t>
      </w:r>
      <w:r w:rsidRPr="007512F3">
        <w:rPr>
          <w:sz w:val="20"/>
          <w:szCs w:val="20"/>
          <w:shd w:val="clear" w:color="auto" w:fill="FFFFFF"/>
          <w:vertAlign w:val="superscript"/>
        </w:rPr>
        <w:t>e</w:t>
      </w:r>
      <w:r w:rsidRPr="007512F3">
        <w:rPr>
          <w:sz w:val="20"/>
          <w:szCs w:val="20"/>
          <w:shd w:val="clear" w:color="auto" w:fill="FFFFFF"/>
        </w:rPr>
        <w:t xml:space="preserve"> siècle), généralement (mais non exclusivement) des </w:t>
      </w:r>
      <w:hyperlink r:id="rId2" w:tooltip="Évêque" w:history="1">
        <w:r w:rsidRPr="007512F3">
          <w:rPr>
            <w:sz w:val="20"/>
            <w:szCs w:val="20"/>
          </w:rPr>
          <w:t>évêques</w:t>
        </w:r>
      </w:hyperlink>
      <w:r w:rsidRPr="007512F3">
        <w:rPr>
          <w:sz w:val="20"/>
          <w:szCs w:val="20"/>
          <w:shd w:val="clear" w:color="auto" w:fill="FFFFFF"/>
        </w:rPr>
        <w:t xml:space="preserve">, dont les écrits (appelés littérature patristique), les actes et l'exemple moral ont contribué à établir et à défendre la doctrine chrétienne. Ils ont exercé une influence considérable sur de multiples aspects de la doctrine chrétienne qui restent « modelés jusqu'à ce jour par l’exégèse patristique ».  </w:t>
      </w:r>
      <w:r w:rsidRPr="007512F3">
        <w:rPr>
          <w:i/>
          <w:color w:val="222222"/>
          <w:sz w:val="20"/>
          <w:szCs w:val="20"/>
          <w:shd w:val="clear" w:color="auto" w:fill="FFFFFF"/>
        </w:rPr>
        <w:t>Cf.,</w:t>
      </w:r>
      <w:r w:rsidRPr="007512F3">
        <w:rPr>
          <w:sz w:val="20"/>
          <w:szCs w:val="20"/>
          <w:shd w:val="clear" w:color="auto" w:fill="FFFFFF"/>
        </w:rPr>
        <w:t xml:space="preserve"> </w:t>
      </w:r>
      <w:r w:rsidRPr="007512F3">
        <w:rPr>
          <w:i/>
          <w:sz w:val="20"/>
          <w:szCs w:val="20"/>
          <w:shd w:val="clear" w:color="auto" w:fill="FFFFFF"/>
        </w:rPr>
        <w:t>Pères de l'Église</w:t>
      </w:r>
      <w:r w:rsidRPr="007512F3">
        <w:rPr>
          <w:sz w:val="20"/>
          <w:szCs w:val="20"/>
          <w:shd w:val="clear" w:color="auto" w:fill="FFFFFF"/>
        </w:rPr>
        <w:t> </w:t>
      </w:r>
      <w:r w:rsidRPr="007512F3">
        <w:rPr>
          <w:sz w:val="20"/>
          <w:szCs w:val="20"/>
        </w:rPr>
        <w:t xml:space="preserve">(page consultée le </w:t>
      </w:r>
      <w:r>
        <w:rPr>
          <w:sz w:val="20"/>
          <w:szCs w:val="20"/>
        </w:rPr>
        <w:t>12</w:t>
      </w:r>
      <w:r w:rsidRPr="007512F3">
        <w:rPr>
          <w:sz w:val="20"/>
          <w:szCs w:val="20"/>
        </w:rPr>
        <w:t xml:space="preserve"> </w:t>
      </w:r>
      <w:r>
        <w:rPr>
          <w:sz w:val="20"/>
          <w:szCs w:val="20"/>
        </w:rPr>
        <w:t xml:space="preserve">septembre </w:t>
      </w:r>
      <w:r w:rsidRPr="007512F3">
        <w:rPr>
          <w:sz w:val="20"/>
          <w:szCs w:val="20"/>
        </w:rPr>
        <w:t>20</w:t>
      </w:r>
      <w:r>
        <w:rPr>
          <w:sz w:val="20"/>
          <w:szCs w:val="20"/>
        </w:rPr>
        <w:t>22</w:t>
      </w:r>
      <w:r w:rsidRPr="007512F3">
        <w:rPr>
          <w:sz w:val="20"/>
          <w:szCs w:val="20"/>
        </w:rPr>
        <w:t>),</w:t>
      </w:r>
    </w:p>
    <w:p w14:paraId="2088DCCA" w14:textId="77777777" w:rsidR="00110CFD" w:rsidRPr="007512F3" w:rsidRDefault="00F37AD4" w:rsidP="00110CFD">
      <w:pPr>
        <w:pStyle w:val="Notedebasdepage"/>
        <w:jc w:val="both"/>
      </w:pPr>
      <w:hyperlink r:id="rId3" w:anchor="cite_note-1" w:history="1">
        <w:r w:rsidR="00110CFD" w:rsidRPr="00577044">
          <w:rPr>
            <w:rStyle w:val="Lienhypertexte"/>
            <w:shd w:val="clear" w:color="auto" w:fill="FFFFFF"/>
          </w:rPr>
          <w:t>https://fr.wikipedia.org/wiki/P%C3%A8res_de_l%27%C3%89glise#cite_note-1</w:t>
        </w:r>
      </w:hyperlink>
    </w:p>
  </w:footnote>
  <w:footnote w:id="13">
    <w:p w14:paraId="3D8AE6A8" w14:textId="77777777" w:rsidR="00110CFD" w:rsidRPr="00B51792" w:rsidRDefault="00110CFD" w:rsidP="00110CFD">
      <w:pPr>
        <w:autoSpaceDE w:val="0"/>
        <w:autoSpaceDN w:val="0"/>
        <w:adjustRightInd w:val="0"/>
        <w:spacing w:after="0" w:line="240" w:lineRule="auto"/>
        <w:jc w:val="both"/>
        <w:rPr>
          <w:lang w:val="en-CA"/>
        </w:rPr>
      </w:pPr>
      <w:r w:rsidRPr="00B51792">
        <w:rPr>
          <w:rStyle w:val="Appelnotedebasdep"/>
          <w:sz w:val="20"/>
          <w:szCs w:val="20"/>
        </w:rPr>
        <w:footnoteRef/>
      </w:r>
      <w:r w:rsidRPr="00B51792">
        <w:rPr>
          <w:lang w:val="en-CA"/>
        </w:rPr>
        <w:t xml:space="preserve"> </w:t>
      </w:r>
      <w:r w:rsidRPr="00BE358B">
        <w:rPr>
          <w:i/>
          <w:sz w:val="20"/>
          <w:szCs w:val="20"/>
          <w:lang w:val="en-US"/>
        </w:rPr>
        <w:t xml:space="preserve">« The contemplative dimension of the Gospel awakens the ultimate YOU. The I AM of God and our " thou " become one (John </w:t>
      </w:r>
      <w:proofErr w:type="gramStart"/>
      <w:r w:rsidRPr="00BE358B">
        <w:rPr>
          <w:i/>
          <w:sz w:val="20"/>
          <w:szCs w:val="20"/>
          <w:lang w:val="en-US"/>
        </w:rPr>
        <w:t>17</w:t>
      </w:r>
      <w:r>
        <w:rPr>
          <w:i/>
          <w:sz w:val="20"/>
          <w:szCs w:val="20"/>
          <w:lang w:val="en-US"/>
        </w:rPr>
        <w:t> </w:t>
      </w:r>
      <w:r w:rsidRPr="00BE358B">
        <w:rPr>
          <w:i/>
          <w:sz w:val="20"/>
          <w:szCs w:val="20"/>
          <w:lang w:val="en-US"/>
        </w:rPr>
        <w:t>:</w:t>
      </w:r>
      <w:proofErr w:type="gramEnd"/>
      <w:r>
        <w:rPr>
          <w:i/>
          <w:sz w:val="20"/>
          <w:szCs w:val="20"/>
          <w:lang w:val="en-US"/>
        </w:rPr>
        <w:t xml:space="preserve"> </w:t>
      </w:r>
      <w:r w:rsidRPr="00BE358B">
        <w:rPr>
          <w:i/>
          <w:sz w:val="20"/>
          <w:szCs w:val="20"/>
          <w:lang w:val="en-US"/>
        </w:rPr>
        <w:t>21 ff). »</w:t>
      </w:r>
      <w:r w:rsidRPr="00BE358B">
        <w:rPr>
          <w:sz w:val="20"/>
          <w:szCs w:val="20"/>
          <w:lang w:val="en-US"/>
        </w:rPr>
        <w:t xml:space="preserve"> </w:t>
      </w:r>
      <w:r w:rsidRPr="00BE358B">
        <w:rPr>
          <w:i/>
          <w:sz w:val="20"/>
          <w:szCs w:val="20"/>
          <w:lang w:val="en-US"/>
        </w:rPr>
        <w:t xml:space="preserve">Cf., Contemplative Outreach, Newsletter Archive, </w:t>
      </w:r>
      <w:r w:rsidRPr="00BE358B">
        <w:rPr>
          <w:i/>
          <w:color w:val="231F20"/>
          <w:sz w:val="20"/>
          <w:szCs w:val="20"/>
          <w:lang w:val="en-US"/>
        </w:rPr>
        <w:t>The four YOU’s</w:t>
      </w:r>
      <w:r w:rsidRPr="00BE358B">
        <w:rPr>
          <w:sz w:val="20"/>
          <w:szCs w:val="20"/>
          <w:lang w:val="en-US"/>
        </w:rPr>
        <w:t>, vol. 23, n</w:t>
      </w:r>
      <w:r w:rsidRPr="00BE358B">
        <w:rPr>
          <w:sz w:val="20"/>
          <w:szCs w:val="20"/>
          <w:vertAlign w:val="superscript"/>
          <w:lang w:val="en-US"/>
        </w:rPr>
        <w:t>o</w:t>
      </w:r>
      <w:r w:rsidRPr="00BE358B">
        <w:rPr>
          <w:sz w:val="20"/>
          <w:szCs w:val="20"/>
          <w:lang w:val="en-US"/>
        </w:rPr>
        <w:t xml:space="preserve"> 2, June 2008, p. 2, (page </w:t>
      </w:r>
      <w:proofErr w:type="spellStart"/>
      <w:r w:rsidRPr="00BE358B">
        <w:rPr>
          <w:sz w:val="20"/>
          <w:szCs w:val="20"/>
          <w:lang w:val="en-US"/>
        </w:rPr>
        <w:t>consultée</w:t>
      </w:r>
      <w:proofErr w:type="spellEnd"/>
      <w:r w:rsidRPr="00BE358B">
        <w:rPr>
          <w:sz w:val="20"/>
          <w:szCs w:val="20"/>
          <w:lang w:val="en-US"/>
        </w:rPr>
        <w:t xml:space="preserve"> le 04 </w:t>
      </w:r>
      <w:proofErr w:type="spellStart"/>
      <w:r w:rsidRPr="00BE358B">
        <w:rPr>
          <w:sz w:val="20"/>
          <w:szCs w:val="20"/>
          <w:lang w:val="en-US"/>
        </w:rPr>
        <w:t>avril</w:t>
      </w:r>
      <w:proofErr w:type="spellEnd"/>
      <w:r w:rsidRPr="00BE358B">
        <w:rPr>
          <w:sz w:val="20"/>
          <w:szCs w:val="20"/>
          <w:lang w:val="en-US"/>
        </w:rPr>
        <w:t xml:space="preserve"> 2022), </w:t>
      </w:r>
      <w:r w:rsidR="00F37AD4">
        <w:fldChar w:fldCharType="begin"/>
      </w:r>
      <w:r w:rsidR="00F37AD4" w:rsidRPr="00F37AD4">
        <w:rPr>
          <w:lang w:val="en-US"/>
        </w:rPr>
        <w:instrText xml:space="preserve"> HYPERLINK "https://www.contemplativeoutreach.org/newsletter/2008-summer/" </w:instrText>
      </w:r>
      <w:r w:rsidR="00F37AD4">
        <w:fldChar w:fldCharType="separate"/>
      </w:r>
      <w:proofErr w:type="spellStart"/>
      <w:r w:rsidRPr="00BE358B">
        <w:rPr>
          <w:rStyle w:val="Lienhypertexte"/>
          <w:sz w:val="20"/>
          <w:szCs w:val="20"/>
          <w:lang w:val="en-CA"/>
        </w:rPr>
        <w:t>Été</w:t>
      </w:r>
      <w:proofErr w:type="spellEnd"/>
      <w:r w:rsidRPr="00BE358B">
        <w:rPr>
          <w:rStyle w:val="Lienhypertexte"/>
          <w:sz w:val="20"/>
          <w:szCs w:val="20"/>
          <w:lang w:val="en-CA"/>
        </w:rPr>
        <w:t xml:space="preserve"> 2008 - Contemplative Outreach, Ltd.</w:t>
      </w:r>
      <w:r w:rsidR="00F37AD4">
        <w:rPr>
          <w:rStyle w:val="Lienhypertexte"/>
          <w:sz w:val="20"/>
          <w:szCs w:val="20"/>
          <w:lang w:val="en-CA"/>
        </w:rPr>
        <w:fldChar w:fldCharType="end"/>
      </w:r>
    </w:p>
  </w:footnote>
  <w:footnote w:id="14">
    <w:p w14:paraId="14BF9A7E" w14:textId="77777777" w:rsidR="00110CFD" w:rsidRPr="00EA15F6" w:rsidRDefault="00110CFD" w:rsidP="00110CFD">
      <w:pPr>
        <w:autoSpaceDE w:val="0"/>
        <w:autoSpaceDN w:val="0"/>
        <w:adjustRightInd w:val="0"/>
        <w:spacing w:after="0" w:line="240" w:lineRule="auto"/>
        <w:jc w:val="both"/>
        <w:rPr>
          <w:lang w:val="en-US"/>
        </w:rPr>
      </w:pPr>
      <w:r w:rsidRPr="00EA15F6">
        <w:rPr>
          <w:rStyle w:val="Appelnotedebasdep"/>
          <w:sz w:val="20"/>
          <w:szCs w:val="20"/>
        </w:rPr>
        <w:footnoteRef/>
      </w:r>
      <w:r w:rsidRPr="00EA15F6">
        <w:rPr>
          <w:sz w:val="20"/>
          <w:szCs w:val="20"/>
          <w:lang w:val="en-CA"/>
        </w:rPr>
        <w:t xml:space="preserve"> </w:t>
      </w:r>
      <w:r w:rsidRPr="00BE358B">
        <w:rPr>
          <w:i/>
          <w:sz w:val="20"/>
          <w:szCs w:val="20"/>
          <w:lang w:val="en-US"/>
        </w:rPr>
        <w:t>Cf</w:t>
      </w:r>
      <w:r w:rsidRPr="00BE358B">
        <w:rPr>
          <w:sz w:val="20"/>
          <w:szCs w:val="20"/>
          <w:lang w:val="en-US"/>
        </w:rPr>
        <w:t xml:space="preserve">., </w:t>
      </w:r>
      <w:r w:rsidRPr="00BE358B">
        <w:rPr>
          <w:i/>
          <w:sz w:val="20"/>
          <w:szCs w:val="20"/>
          <w:lang w:val="en-US"/>
        </w:rPr>
        <w:t>Contemplative Outreach, Newsletter Archive, The Theological Foundations of Contemplative Outreach,</w:t>
      </w:r>
      <w:r w:rsidRPr="00BE358B">
        <w:rPr>
          <w:rFonts w:eastAsia="Times New Roman"/>
          <w:bCs/>
          <w:i/>
          <w:iCs/>
          <w:sz w:val="20"/>
          <w:szCs w:val="20"/>
          <w:lang w:val="en-US" w:eastAsia="fr-CA"/>
        </w:rPr>
        <w:t xml:space="preserve"> </w:t>
      </w:r>
      <w:r w:rsidRPr="00BE358B">
        <w:rPr>
          <w:i/>
          <w:sz w:val="20"/>
          <w:szCs w:val="20"/>
          <w:lang w:val="en-US"/>
        </w:rPr>
        <w:t>(Part One of a Two-Part Series),</w:t>
      </w:r>
      <w:r w:rsidRPr="00BE358B">
        <w:rPr>
          <w:sz w:val="20"/>
          <w:szCs w:val="20"/>
          <w:lang w:val="en-US"/>
        </w:rPr>
        <w:t xml:space="preserve"> vol. 15, n</w:t>
      </w:r>
      <w:r w:rsidRPr="00BE358B">
        <w:rPr>
          <w:sz w:val="20"/>
          <w:szCs w:val="20"/>
          <w:vertAlign w:val="superscript"/>
          <w:lang w:val="en-US"/>
        </w:rPr>
        <w:t>o</w:t>
      </w:r>
      <w:r w:rsidRPr="00BE358B">
        <w:rPr>
          <w:sz w:val="20"/>
          <w:szCs w:val="20"/>
          <w:lang w:val="en-US"/>
        </w:rPr>
        <w:t xml:space="preserve"> 2, Spring/Summer 2001, p. 1-2, (page </w:t>
      </w:r>
      <w:proofErr w:type="spellStart"/>
      <w:r w:rsidRPr="00D75BE8">
        <w:rPr>
          <w:sz w:val="20"/>
          <w:szCs w:val="20"/>
          <w:lang w:val="en-CA"/>
        </w:rPr>
        <w:t>consultée</w:t>
      </w:r>
      <w:proofErr w:type="spellEnd"/>
      <w:r w:rsidRPr="00BE358B">
        <w:rPr>
          <w:sz w:val="20"/>
          <w:szCs w:val="20"/>
          <w:lang w:val="en-US"/>
        </w:rPr>
        <w:t xml:space="preserve"> le 4 </w:t>
      </w:r>
      <w:proofErr w:type="spellStart"/>
      <w:r w:rsidRPr="00BE358B">
        <w:rPr>
          <w:sz w:val="20"/>
          <w:szCs w:val="20"/>
          <w:lang w:val="en-US"/>
        </w:rPr>
        <w:t>avril</w:t>
      </w:r>
      <w:proofErr w:type="spellEnd"/>
      <w:r w:rsidRPr="00BE358B">
        <w:rPr>
          <w:sz w:val="20"/>
          <w:szCs w:val="20"/>
          <w:lang w:val="en-US"/>
        </w:rPr>
        <w:t xml:space="preserve"> 2022), </w:t>
      </w:r>
      <w:hyperlink r:id="rId4" w:history="1">
        <w:proofErr w:type="spellStart"/>
        <w:r w:rsidRPr="00BE358B">
          <w:rPr>
            <w:rStyle w:val="Lienhypertexte"/>
            <w:sz w:val="20"/>
            <w:szCs w:val="20"/>
            <w:lang w:val="en-CA"/>
          </w:rPr>
          <w:t>Été</w:t>
        </w:r>
        <w:proofErr w:type="spellEnd"/>
        <w:r w:rsidRPr="00BE358B">
          <w:rPr>
            <w:rStyle w:val="Lienhypertexte"/>
            <w:sz w:val="20"/>
            <w:szCs w:val="20"/>
            <w:lang w:val="en-CA"/>
          </w:rPr>
          <w:t xml:space="preserve"> 2001 - Contemplative Outreach, Ltd.</w:t>
        </w:r>
      </w:hyperlink>
      <w:r w:rsidRPr="00BE358B">
        <w:rPr>
          <w:iCs/>
          <w:sz w:val="20"/>
          <w:szCs w:val="20"/>
          <w:lang w:val="en-US"/>
        </w:rPr>
        <w:t xml:space="preserve"> </w:t>
      </w:r>
    </w:p>
  </w:footnote>
  <w:footnote w:id="15">
    <w:p w14:paraId="159696FD" w14:textId="77777777" w:rsidR="00110CFD" w:rsidRPr="00BE358B" w:rsidRDefault="00110CFD" w:rsidP="00110CFD">
      <w:pPr>
        <w:pStyle w:val="Notedebasdepage"/>
        <w:tabs>
          <w:tab w:val="left" w:pos="709"/>
        </w:tabs>
        <w:jc w:val="both"/>
        <w:rPr>
          <w:lang w:val="en-US"/>
        </w:rPr>
      </w:pPr>
      <w:r w:rsidRPr="00BE358B">
        <w:rPr>
          <w:rStyle w:val="Appelnotedebasdep"/>
        </w:rPr>
        <w:footnoteRef/>
      </w:r>
      <w:r w:rsidRPr="00BE358B">
        <w:rPr>
          <w:lang w:val="en-US"/>
        </w:rPr>
        <w:t xml:space="preserve"> T. KEATING</w:t>
      </w:r>
      <w:r w:rsidRPr="00BE358B">
        <w:rPr>
          <w:lang w:val="en-CA"/>
        </w:rPr>
        <w:t>.</w:t>
      </w:r>
      <w:r w:rsidRPr="00BE358B">
        <w:rPr>
          <w:rFonts w:eastAsia="Times New Roman"/>
          <w:bCs/>
          <w:i/>
          <w:iCs/>
          <w:lang w:val="en-CA" w:eastAsia="fr-CA"/>
        </w:rPr>
        <w:t xml:space="preserve"> Intimacy with God, </w:t>
      </w:r>
      <w:r w:rsidRPr="00BE358B">
        <w:rPr>
          <w:bCs/>
          <w:i/>
          <w:iCs/>
          <w:lang w:val="en-US"/>
        </w:rPr>
        <w:t>An Introduction to Centering Prayer</w:t>
      </w:r>
      <w:r w:rsidRPr="00BE358B">
        <w:rPr>
          <w:bCs/>
          <w:i/>
          <w:iCs/>
          <w:lang w:val="en-US"/>
        </w:rPr>
        <w:fldChar w:fldCharType="begin"/>
      </w:r>
      <w:r w:rsidRPr="00BE358B">
        <w:rPr>
          <w:lang w:val="en-CA"/>
        </w:rPr>
        <w:instrText xml:space="preserve"> XE "Centering Prayer" </w:instrText>
      </w:r>
      <w:r w:rsidRPr="00BE358B">
        <w:rPr>
          <w:bCs/>
          <w:i/>
          <w:iCs/>
          <w:lang w:val="en-US"/>
        </w:rPr>
        <w:fldChar w:fldCharType="end"/>
      </w:r>
      <w:r w:rsidRPr="00BE358B">
        <w:rPr>
          <w:lang w:val="en-US"/>
        </w:rPr>
        <w:t>, New York, Crossroad, 2009</w:t>
      </w:r>
      <w:r w:rsidRPr="00BE358B">
        <w:rPr>
          <w:rFonts w:eastAsia="Times New Roman"/>
          <w:bCs/>
          <w:i/>
          <w:iCs/>
          <w:lang w:val="en-US" w:eastAsia="fr-CA"/>
        </w:rPr>
        <w:t>,</w:t>
      </w:r>
      <w:r w:rsidRPr="00BE358B">
        <w:rPr>
          <w:rFonts w:eastAsia="Times New Roman"/>
          <w:lang w:val="en-CA" w:eastAsia="fr-CA"/>
        </w:rPr>
        <w:t xml:space="preserve"> </w:t>
      </w:r>
      <w:r w:rsidRPr="00BE358B">
        <w:rPr>
          <w:lang w:val="en-CA"/>
        </w:rPr>
        <w:t xml:space="preserve">p. 82-83. </w:t>
      </w:r>
    </w:p>
  </w:footnote>
  <w:footnote w:id="16">
    <w:p w14:paraId="4D2B18C3" w14:textId="77777777" w:rsidR="00110CFD" w:rsidRPr="00BE358B" w:rsidRDefault="00110CFD" w:rsidP="00110CFD">
      <w:pPr>
        <w:pStyle w:val="Notedebasdepage"/>
        <w:jc w:val="both"/>
        <w:rPr>
          <w:lang w:val="en-US"/>
        </w:rPr>
      </w:pPr>
      <w:r w:rsidRPr="00BE358B">
        <w:rPr>
          <w:rStyle w:val="Appelnotedebasdep"/>
        </w:rPr>
        <w:footnoteRef/>
      </w:r>
      <w:r w:rsidRPr="00BE358B">
        <w:rPr>
          <w:lang w:val="en-US"/>
        </w:rPr>
        <w:t xml:space="preserve"> T. KEATING</w:t>
      </w:r>
      <w:r w:rsidRPr="00BE358B">
        <w:rPr>
          <w:lang w:val="en-CA"/>
        </w:rPr>
        <w:t>.</w:t>
      </w:r>
      <w:r w:rsidRPr="00BE358B">
        <w:rPr>
          <w:rFonts w:eastAsia="Times New Roman"/>
          <w:bCs/>
          <w:i/>
          <w:iCs/>
          <w:lang w:val="en-CA" w:eastAsia="fr-CA"/>
        </w:rPr>
        <w:t xml:space="preserve"> Intimacy with God, </w:t>
      </w:r>
      <w:r w:rsidRPr="00BE358B">
        <w:rPr>
          <w:rFonts w:eastAsia="Times New Roman"/>
          <w:bCs/>
          <w:iCs/>
          <w:color w:val="000000" w:themeColor="text1"/>
          <w:lang w:val="en-CA" w:eastAsia="fr-CA"/>
        </w:rPr>
        <w:t>[…]</w:t>
      </w:r>
      <w:r w:rsidRPr="00BE358B">
        <w:rPr>
          <w:rFonts w:eastAsia="Times New Roman"/>
          <w:color w:val="000000" w:themeColor="text1"/>
          <w:lang w:val="en-CA" w:eastAsia="fr-CA"/>
        </w:rPr>
        <w:t>,</w:t>
      </w:r>
      <w:r w:rsidRPr="00BE358B">
        <w:rPr>
          <w:i/>
          <w:lang w:val="en-US"/>
        </w:rPr>
        <w:t xml:space="preserve"> </w:t>
      </w:r>
      <w:r w:rsidRPr="00BE358B">
        <w:rPr>
          <w:lang w:val="en-CA"/>
        </w:rPr>
        <w:t>p. 188.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107054"/>
      <w:docPartObj>
        <w:docPartGallery w:val="Page Numbers (Top of Page)"/>
        <w:docPartUnique/>
      </w:docPartObj>
    </w:sdtPr>
    <w:sdtContent>
      <w:p w14:paraId="64D57F16" w14:textId="650515D8" w:rsidR="00F37AD4" w:rsidRDefault="00F37AD4">
        <w:pPr>
          <w:pStyle w:val="En-tte"/>
          <w:jc w:val="right"/>
        </w:pPr>
        <w:r>
          <w:fldChar w:fldCharType="begin"/>
        </w:r>
        <w:r>
          <w:instrText>PAGE   \* MERGEFORMAT</w:instrText>
        </w:r>
        <w:r>
          <w:fldChar w:fldCharType="separate"/>
        </w:r>
        <w:r>
          <w:rPr>
            <w:lang w:val="fr-FR"/>
          </w:rPr>
          <w:t>2</w:t>
        </w:r>
        <w:r>
          <w:fldChar w:fldCharType="end"/>
        </w:r>
      </w:p>
    </w:sdtContent>
  </w:sdt>
  <w:p w14:paraId="6DCBB2D4" w14:textId="77777777" w:rsidR="00F37AD4" w:rsidRDefault="00F37AD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110CFD"/>
    <w:rsid w:val="00110CFD"/>
    <w:rsid w:val="00514248"/>
    <w:rsid w:val="00F37A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A7FF8"/>
  <w15:chartTrackingRefBased/>
  <w15:docId w15:val="{D96DA1E1-A4E2-40F3-9EF3-9E6CD794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CFD"/>
    <w:rPr>
      <w:rFonts w:ascii="Times New Roman" w:hAnsi="Times New Roman" w:cs="Times New Roman"/>
      <w:sz w:val="24"/>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110CFD"/>
    <w:pPr>
      <w:spacing w:after="0" w:line="240" w:lineRule="auto"/>
    </w:pPr>
    <w:rPr>
      <w:sz w:val="20"/>
      <w:szCs w:val="20"/>
    </w:rPr>
  </w:style>
  <w:style w:type="character" w:customStyle="1" w:styleId="NotedebasdepageCar">
    <w:name w:val="Note de bas de page Car"/>
    <w:basedOn w:val="Policepardfaut"/>
    <w:link w:val="Notedebasdepage"/>
    <w:uiPriority w:val="99"/>
    <w:rsid w:val="00110CFD"/>
    <w:rPr>
      <w:rFonts w:ascii="Times New Roman" w:hAnsi="Times New Roman" w:cs="Times New Roman"/>
      <w:sz w:val="20"/>
      <w:szCs w:val="20"/>
      <w:lang w:val="fr-CA"/>
    </w:rPr>
  </w:style>
  <w:style w:type="character" w:styleId="Appelnotedebasdep">
    <w:name w:val="footnote reference"/>
    <w:basedOn w:val="Policepardfaut"/>
    <w:uiPriority w:val="99"/>
    <w:semiHidden/>
    <w:unhideWhenUsed/>
    <w:rsid w:val="00110CFD"/>
    <w:rPr>
      <w:vertAlign w:val="superscript"/>
    </w:rPr>
  </w:style>
  <w:style w:type="paragraph" w:styleId="Sansinterligne">
    <w:name w:val="No Spacing"/>
    <w:autoRedefine/>
    <w:uiPriority w:val="1"/>
    <w:qFormat/>
    <w:rsid w:val="00110CFD"/>
    <w:pPr>
      <w:tabs>
        <w:tab w:val="left" w:pos="0"/>
      </w:tabs>
      <w:spacing w:after="0" w:line="240" w:lineRule="auto"/>
      <w:ind w:right="-7"/>
      <w:jc w:val="both"/>
    </w:pPr>
    <w:rPr>
      <w:rFonts w:ascii="Times New Roman" w:eastAsia="Calibri" w:hAnsi="Times New Roman" w:cs="Times New Roman"/>
      <w:color w:val="000000"/>
      <w:sz w:val="24"/>
      <w:szCs w:val="24"/>
      <w:lang w:val="fr-CA"/>
    </w:rPr>
  </w:style>
  <w:style w:type="character" w:styleId="Lienhypertexte">
    <w:name w:val="Hyperlink"/>
    <w:basedOn w:val="Policepardfaut"/>
    <w:uiPriority w:val="99"/>
    <w:unhideWhenUsed/>
    <w:rsid w:val="00110CFD"/>
    <w:rPr>
      <w:color w:val="0000FF"/>
      <w:u w:val="single"/>
    </w:rPr>
  </w:style>
  <w:style w:type="paragraph" w:styleId="En-tte">
    <w:name w:val="header"/>
    <w:basedOn w:val="Normal"/>
    <w:link w:val="En-tteCar"/>
    <w:uiPriority w:val="99"/>
    <w:unhideWhenUsed/>
    <w:rsid w:val="00F37AD4"/>
    <w:pPr>
      <w:tabs>
        <w:tab w:val="center" w:pos="4680"/>
        <w:tab w:val="right" w:pos="9360"/>
      </w:tabs>
      <w:spacing w:after="0" w:line="240" w:lineRule="auto"/>
    </w:pPr>
  </w:style>
  <w:style w:type="character" w:customStyle="1" w:styleId="En-tteCar">
    <w:name w:val="En-tête Car"/>
    <w:basedOn w:val="Policepardfaut"/>
    <w:link w:val="En-tte"/>
    <w:uiPriority w:val="99"/>
    <w:rsid w:val="00F37AD4"/>
    <w:rPr>
      <w:rFonts w:ascii="Times New Roman" w:hAnsi="Times New Roman" w:cs="Times New Roman"/>
      <w:sz w:val="24"/>
      <w:lang w:val="fr-CA"/>
    </w:rPr>
  </w:style>
  <w:style w:type="paragraph" w:styleId="Pieddepage">
    <w:name w:val="footer"/>
    <w:basedOn w:val="Normal"/>
    <w:link w:val="PieddepageCar"/>
    <w:uiPriority w:val="99"/>
    <w:unhideWhenUsed/>
    <w:rsid w:val="00F37AD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37AD4"/>
    <w:rPr>
      <w:rFonts w:ascii="Times New Roman" w:hAnsi="Times New Roman" w:cs="Times New Roman"/>
      <w:sz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fr.wikipedia.org/wiki/P%C3%A8res_de_l%27%C3%89glise" TargetMode="External"/><Relationship Id="rId2" Type="http://schemas.openxmlformats.org/officeDocument/2006/relationships/hyperlink" Target="https://fr.wikipedia.org/wiki/%C3%89v%C3%AAque" TargetMode="External"/><Relationship Id="rId1" Type="http://schemas.openxmlformats.org/officeDocument/2006/relationships/hyperlink" Target="https://fr.wikipedia.org/wiki/Dieu" TargetMode="External"/><Relationship Id="rId4" Type="http://schemas.openxmlformats.org/officeDocument/2006/relationships/hyperlink" Target="https://www.contemplativeoutreach.org/newsletter/2001-sum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854</Words>
  <Characters>4700</Characters>
  <Application>Microsoft Office Word</Application>
  <DocSecurity>0</DocSecurity>
  <Lines>39</Lines>
  <Paragraphs>11</Paragraphs>
  <ScaleCrop>false</ScaleCrop>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Goulet</dc:creator>
  <cp:keywords/>
  <dc:description/>
  <cp:lastModifiedBy>Hélène Goulet</cp:lastModifiedBy>
  <cp:revision>2</cp:revision>
  <dcterms:created xsi:type="dcterms:W3CDTF">2022-09-25T20:14:00Z</dcterms:created>
  <dcterms:modified xsi:type="dcterms:W3CDTF">2022-10-04T16:57:00Z</dcterms:modified>
</cp:coreProperties>
</file>